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3AE3" w14:textId="77777777" w:rsidR="009269DC" w:rsidRDefault="009269DC" w:rsidP="009269DC"/>
    <w:p w14:paraId="2794B690" w14:textId="77777777" w:rsidR="001F31D8" w:rsidRDefault="001F31D8" w:rsidP="001F31D8">
      <w:pPr>
        <w:pStyle w:val="Title"/>
        <w:jc w:val="center"/>
        <w:rPr>
          <w:rFonts w:ascii="Helvetica neue" w:hAnsi="Helvetica neue"/>
          <w:color w:val="569BBE"/>
          <w:lang w:val="nb-NO"/>
        </w:rPr>
      </w:pPr>
    </w:p>
    <w:p w14:paraId="38D05F72" w14:textId="77777777" w:rsidR="001F31D8" w:rsidRDefault="001F31D8" w:rsidP="001F31D8">
      <w:pPr>
        <w:pStyle w:val="Title"/>
        <w:jc w:val="center"/>
        <w:rPr>
          <w:rFonts w:ascii="Helvetica neue" w:hAnsi="Helvetica neue"/>
          <w:color w:val="569BBE"/>
          <w:lang w:val="nb-NO"/>
        </w:rPr>
      </w:pPr>
    </w:p>
    <w:p w14:paraId="3AA96837" w14:textId="77777777" w:rsidR="001F31D8" w:rsidRDefault="001F31D8" w:rsidP="001F31D8">
      <w:pPr>
        <w:pStyle w:val="Title"/>
        <w:jc w:val="center"/>
        <w:rPr>
          <w:rFonts w:ascii="Helvetica neue" w:hAnsi="Helvetica neue"/>
          <w:color w:val="569BBE"/>
          <w:lang w:val="nb-NO"/>
        </w:rPr>
      </w:pPr>
    </w:p>
    <w:p w14:paraId="5A492703" w14:textId="0DF5D508" w:rsidR="00971A90" w:rsidRPr="001F31D8" w:rsidRDefault="00971A90" w:rsidP="001F31D8">
      <w:pPr>
        <w:pStyle w:val="Title"/>
        <w:jc w:val="center"/>
        <w:rPr>
          <w:rFonts w:ascii="Helvetica neue" w:hAnsi="Helvetica neue"/>
          <w:color w:val="569BBE"/>
          <w:lang w:val="nb-NO"/>
        </w:rPr>
      </w:pPr>
      <w:r w:rsidRPr="001F31D8">
        <w:rPr>
          <w:rFonts w:ascii="Helvetica neue" w:hAnsi="Helvetica neue"/>
          <w:color w:val="569BBE"/>
          <w:lang w:val="nb-NO"/>
        </w:rPr>
        <w:t xml:space="preserve">Retningslinjer </w:t>
      </w:r>
      <w:r w:rsidR="00436CFB">
        <w:rPr>
          <w:rFonts w:ascii="Helvetica neue" w:hAnsi="Helvetica neue"/>
          <w:color w:val="569BBE"/>
          <w:lang w:val="nb-NO"/>
        </w:rPr>
        <w:t>|</w:t>
      </w:r>
      <w:r w:rsidRPr="001F31D8">
        <w:rPr>
          <w:rFonts w:ascii="Helvetica neue" w:hAnsi="Helvetica neue"/>
          <w:color w:val="569BBE"/>
          <w:lang w:val="nb-NO"/>
        </w:rPr>
        <w:t xml:space="preserve"> </w:t>
      </w:r>
      <w:r w:rsidRPr="001F31D8">
        <w:rPr>
          <w:rFonts w:ascii="Helvetica neue" w:hAnsi="Helvetica neue"/>
          <w:color w:val="569BBE"/>
        </w:rPr>
        <w:t>Guidelines</w:t>
      </w:r>
    </w:p>
    <w:p w14:paraId="4AF099A2" w14:textId="77777777" w:rsidR="001F31D8" w:rsidRPr="001F31D8" w:rsidRDefault="001F31D8" w:rsidP="00971A90">
      <w:pPr>
        <w:pStyle w:val="Heading3"/>
        <w:jc w:val="center"/>
        <w:rPr>
          <w:rFonts w:ascii="Helvetica neue" w:hAnsi="Helvetica neue"/>
          <w:sz w:val="40"/>
          <w:szCs w:val="56"/>
          <w:lang w:val="nb-NO"/>
        </w:rPr>
      </w:pPr>
      <w:bookmarkStart w:id="0" w:name="_Toc212534396"/>
      <w:bookmarkStart w:id="1" w:name="_Toc212534912"/>
    </w:p>
    <w:p w14:paraId="0EFDF780" w14:textId="100FD87B" w:rsidR="009269DC" w:rsidRPr="001F31D8" w:rsidRDefault="00971A90" w:rsidP="00971A90">
      <w:pPr>
        <w:pStyle w:val="Heading3"/>
        <w:jc w:val="center"/>
        <w:rPr>
          <w:rFonts w:ascii="Helvetica neue" w:hAnsi="Helvetica neue"/>
          <w:lang w:val="nb-NO"/>
        </w:rPr>
      </w:pPr>
      <w:r w:rsidRPr="001F31D8">
        <w:rPr>
          <w:rFonts w:ascii="Helvetica neue" w:hAnsi="Helvetica neue"/>
          <w:color w:val="696A6D"/>
          <w:sz w:val="40"/>
          <w:szCs w:val="56"/>
          <w:lang w:val="nb-NO"/>
        </w:rPr>
        <w:t>Nemkofondet</w:t>
      </w:r>
      <w:bookmarkEnd w:id="0"/>
      <w:bookmarkEnd w:id="1"/>
      <w:r w:rsidR="009269DC" w:rsidRPr="001F31D8">
        <w:rPr>
          <w:rFonts w:ascii="Helvetica neue" w:hAnsi="Helvetica neue"/>
          <w:lang w:val="nb-NO"/>
        </w:rPr>
        <w:br w:type="page"/>
      </w:r>
    </w:p>
    <w:sdt>
      <w:sdtPr>
        <w:rPr>
          <w:caps w:val="0"/>
          <w:color w:val="auto"/>
          <w:spacing w:val="0"/>
          <w:sz w:val="20"/>
          <w:szCs w:val="20"/>
        </w:rPr>
        <w:id w:val="175004320"/>
        <w:docPartObj>
          <w:docPartGallery w:val="Table of Contents"/>
          <w:docPartUnique/>
        </w:docPartObj>
      </w:sdtPr>
      <w:sdtEndPr/>
      <w:sdtContent>
        <w:p w14:paraId="400CA598" w14:textId="716DB20D" w:rsidR="009269DC" w:rsidRPr="00AD2F12" w:rsidRDefault="009269DC" w:rsidP="009269DC">
          <w:pPr>
            <w:pStyle w:val="TOCHeading"/>
            <w:rPr>
              <w:lang w:val="nb-NO"/>
            </w:rPr>
          </w:pPr>
          <w:r w:rsidRPr="00AD2F12">
            <w:rPr>
              <w:lang w:val="nb-NO"/>
            </w:rPr>
            <w:t>Innhold</w:t>
          </w:r>
          <w:r w:rsidR="00AD2F12" w:rsidRPr="00AD2F12">
            <w:rPr>
              <w:lang w:val="nb-NO"/>
            </w:rPr>
            <w:t xml:space="preserve"> </w:t>
          </w:r>
          <w:r w:rsidR="004636E9">
            <w:rPr>
              <w:lang w:val="nb-NO"/>
            </w:rPr>
            <w:t>|</w:t>
          </w:r>
          <w:r w:rsidR="00AD2F12" w:rsidRPr="00AD2F12">
            <w:rPr>
              <w:lang w:val="nb-NO"/>
            </w:rPr>
            <w:t xml:space="preserve"> c</w:t>
          </w:r>
          <w:r w:rsidR="00AD2F12">
            <w:rPr>
              <w:lang w:val="nb-NO"/>
            </w:rPr>
            <w:t>ontent</w:t>
          </w:r>
        </w:p>
        <w:p w14:paraId="3E18A6A2" w14:textId="2D4B8CCA" w:rsidR="00942A11" w:rsidRPr="00DF48B9" w:rsidRDefault="009269DC" w:rsidP="00DF48B9">
          <w:pPr>
            <w:pStyle w:val="TOC3"/>
            <w:rPr>
              <w:kern w:val="2"/>
              <w:sz w:val="24"/>
              <w:szCs w:val="24"/>
              <w:lang w:val="en-GB" w:eastAsia="en-GB"/>
              <w14:ligatures w14:val="standardContextual"/>
            </w:rPr>
          </w:pPr>
          <w:r>
            <w:fldChar w:fldCharType="begin"/>
          </w:r>
          <w:r>
            <w:instrText>TOC \o "1-3" \z \u \h</w:instrText>
          </w:r>
          <w:r>
            <w:fldChar w:fldCharType="separate"/>
          </w:r>
          <w:hyperlink w:anchor="_Toc212534913" w:history="1">
            <w:r w:rsidR="00942A11" w:rsidRPr="00DF48B9">
              <w:rPr>
                <w:rStyle w:val="Hyperlink"/>
                <w:color w:val="696A6D"/>
              </w:rPr>
              <w:t>Innledning | Introduction</w:t>
            </w:r>
            <w:r w:rsidR="00942A11" w:rsidRPr="00DF48B9">
              <w:rPr>
                <w:webHidden/>
              </w:rPr>
              <w:tab/>
            </w:r>
            <w:r w:rsidR="00942A11" w:rsidRPr="00DF48B9">
              <w:rPr>
                <w:webHidden/>
              </w:rPr>
              <w:fldChar w:fldCharType="begin"/>
            </w:r>
            <w:r w:rsidR="00942A11" w:rsidRPr="00DF48B9">
              <w:rPr>
                <w:webHidden/>
              </w:rPr>
              <w:instrText xml:space="preserve"> PAGEREF _Toc212534913 \h </w:instrText>
            </w:r>
            <w:r w:rsidR="00942A11" w:rsidRPr="00DF48B9">
              <w:rPr>
                <w:webHidden/>
              </w:rPr>
            </w:r>
            <w:r w:rsidR="00942A11" w:rsidRPr="00DF48B9">
              <w:rPr>
                <w:webHidden/>
              </w:rPr>
              <w:fldChar w:fldCharType="separate"/>
            </w:r>
            <w:r w:rsidR="00942A11" w:rsidRPr="00DF48B9">
              <w:rPr>
                <w:webHidden/>
              </w:rPr>
              <w:t>3</w:t>
            </w:r>
            <w:r w:rsidR="00942A11" w:rsidRPr="00DF48B9">
              <w:rPr>
                <w:webHidden/>
              </w:rPr>
              <w:fldChar w:fldCharType="end"/>
            </w:r>
          </w:hyperlink>
        </w:p>
        <w:p w14:paraId="52BD78F4" w14:textId="0A897D23"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4" w:history="1">
            <w:r w:rsidRPr="00DF48B9">
              <w:rPr>
                <w:rStyle w:val="Hyperlink"/>
                <w:noProof/>
                <w:color w:val="696A6D"/>
                <w:lang w:val="nb-NO"/>
              </w:rPr>
              <w:t>Formål | Purpose</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_Toc212534914 \h </w:instrText>
            </w:r>
            <w:r w:rsidRPr="00DF48B9">
              <w:rPr>
                <w:noProof/>
                <w:webHidden/>
                <w:color w:val="696A6D"/>
              </w:rPr>
            </w:r>
            <w:r w:rsidRPr="00DF48B9">
              <w:rPr>
                <w:noProof/>
                <w:webHidden/>
                <w:color w:val="696A6D"/>
              </w:rPr>
              <w:fldChar w:fldCharType="separate"/>
            </w:r>
            <w:r w:rsidRPr="00DF48B9">
              <w:rPr>
                <w:noProof/>
                <w:webHidden/>
                <w:color w:val="696A6D"/>
              </w:rPr>
              <w:t>4</w:t>
            </w:r>
            <w:r w:rsidRPr="00DF48B9">
              <w:rPr>
                <w:noProof/>
                <w:webHidden/>
                <w:color w:val="696A6D"/>
              </w:rPr>
              <w:fldChar w:fldCharType="end"/>
            </w:r>
          </w:hyperlink>
        </w:p>
        <w:p w14:paraId="49D61C41" w14:textId="232ECA95"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5" w:history="1">
            <w:r w:rsidRPr="00DF48B9">
              <w:rPr>
                <w:rStyle w:val="Hyperlink"/>
                <w:noProof/>
                <w:color w:val="696A6D"/>
                <w:lang w:val="nb-NO"/>
              </w:rPr>
              <w:t>Vurderingskriterier og prioriteringer | Assessment criteria and priorities</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_Toc212534915 \h </w:instrText>
            </w:r>
            <w:r w:rsidRPr="00DF48B9">
              <w:rPr>
                <w:noProof/>
                <w:webHidden/>
                <w:color w:val="696A6D"/>
              </w:rPr>
            </w:r>
            <w:r w:rsidRPr="00DF48B9">
              <w:rPr>
                <w:noProof/>
                <w:webHidden/>
                <w:color w:val="696A6D"/>
              </w:rPr>
              <w:fldChar w:fldCharType="separate"/>
            </w:r>
            <w:r w:rsidRPr="00DF48B9">
              <w:rPr>
                <w:noProof/>
                <w:webHidden/>
                <w:color w:val="696A6D"/>
              </w:rPr>
              <w:t>5</w:t>
            </w:r>
            <w:r w:rsidRPr="00DF48B9">
              <w:rPr>
                <w:noProof/>
                <w:webHidden/>
                <w:color w:val="696A6D"/>
              </w:rPr>
              <w:fldChar w:fldCharType="end"/>
            </w:r>
          </w:hyperlink>
        </w:p>
        <w:p w14:paraId="3606CDDE" w14:textId="0AEE6F2C"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6" w:history="1">
            <w:r w:rsidRPr="00DF48B9">
              <w:rPr>
                <w:rStyle w:val="Hyperlink"/>
                <w:noProof/>
                <w:color w:val="696A6D"/>
                <w:lang w:val="en-GB"/>
              </w:rPr>
              <w:t>Utlysning og Søknader | Announcement and applications</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_Toc212534916 \h </w:instrText>
            </w:r>
            <w:r w:rsidRPr="00DF48B9">
              <w:rPr>
                <w:noProof/>
                <w:webHidden/>
                <w:color w:val="696A6D"/>
              </w:rPr>
            </w:r>
            <w:r w:rsidRPr="00DF48B9">
              <w:rPr>
                <w:noProof/>
                <w:webHidden/>
                <w:color w:val="696A6D"/>
              </w:rPr>
              <w:fldChar w:fldCharType="separate"/>
            </w:r>
            <w:r w:rsidRPr="00DF48B9">
              <w:rPr>
                <w:noProof/>
                <w:webHidden/>
                <w:color w:val="696A6D"/>
              </w:rPr>
              <w:t>6</w:t>
            </w:r>
            <w:r w:rsidRPr="00DF48B9">
              <w:rPr>
                <w:noProof/>
                <w:webHidden/>
                <w:color w:val="696A6D"/>
              </w:rPr>
              <w:fldChar w:fldCharType="end"/>
            </w:r>
          </w:hyperlink>
        </w:p>
        <w:p w14:paraId="3E1498D6" w14:textId="3F33C677"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7" w:history="1">
            <w:r w:rsidRPr="00DF48B9">
              <w:rPr>
                <w:rStyle w:val="Hyperlink"/>
                <w:noProof/>
                <w:color w:val="696A6D"/>
                <w:lang w:val="nb-NO"/>
              </w:rPr>
              <w:t>Tildelingskapital | Allocation capital</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_Toc212534917 \h </w:instrText>
            </w:r>
            <w:r w:rsidRPr="00DF48B9">
              <w:rPr>
                <w:noProof/>
                <w:webHidden/>
                <w:color w:val="696A6D"/>
              </w:rPr>
            </w:r>
            <w:r w:rsidRPr="00DF48B9">
              <w:rPr>
                <w:noProof/>
                <w:webHidden/>
                <w:color w:val="696A6D"/>
              </w:rPr>
              <w:fldChar w:fldCharType="separate"/>
            </w:r>
            <w:r w:rsidRPr="00DF48B9">
              <w:rPr>
                <w:noProof/>
                <w:webHidden/>
                <w:color w:val="696A6D"/>
              </w:rPr>
              <w:t>7</w:t>
            </w:r>
            <w:r w:rsidRPr="00DF48B9">
              <w:rPr>
                <w:noProof/>
                <w:webHidden/>
                <w:color w:val="696A6D"/>
              </w:rPr>
              <w:fldChar w:fldCharType="end"/>
            </w:r>
          </w:hyperlink>
        </w:p>
        <w:p w14:paraId="373825C1" w14:textId="1808F5EF"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8" w:history="1">
            <w:r w:rsidRPr="00DF48B9">
              <w:rPr>
                <w:rStyle w:val="Hyperlink"/>
                <w:noProof/>
                <w:color w:val="696A6D"/>
                <w:lang w:val="nb-NO"/>
              </w:rPr>
              <w:t>Tildelingsgruppe | Allocation group</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_Toc212534918 \h </w:instrText>
            </w:r>
            <w:r w:rsidRPr="00DF48B9">
              <w:rPr>
                <w:noProof/>
                <w:webHidden/>
                <w:color w:val="696A6D"/>
              </w:rPr>
            </w:r>
            <w:r w:rsidRPr="00DF48B9">
              <w:rPr>
                <w:noProof/>
                <w:webHidden/>
                <w:color w:val="696A6D"/>
              </w:rPr>
              <w:fldChar w:fldCharType="separate"/>
            </w:r>
            <w:r w:rsidRPr="00DF48B9">
              <w:rPr>
                <w:noProof/>
                <w:webHidden/>
                <w:color w:val="696A6D"/>
              </w:rPr>
              <w:t>8</w:t>
            </w:r>
            <w:r w:rsidRPr="00DF48B9">
              <w:rPr>
                <w:noProof/>
                <w:webHidden/>
                <w:color w:val="696A6D"/>
              </w:rPr>
              <w:fldChar w:fldCharType="end"/>
            </w:r>
          </w:hyperlink>
        </w:p>
        <w:p w14:paraId="000D390E" w14:textId="79F9C172"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19" w:history="1">
            <w:r w:rsidRPr="00DF48B9">
              <w:rPr>
                <w:rStyle w:val="Hyperlink"/>
                <w:noProof/>
                <w:color w:val="696A6D"/>
                <w:lang w:val="nb-NO"/>
              </w:rPr>
              <w:t>Habilitet | Conflict of interest</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_Toc212534919 \h </w:instrText>
            </w:r>
            <w:r w:rsidRPr="00DF48B9">
              <w:rPr>
                <w:noProof/>
                <w:webHidden/>
                <w:color w:val="696A6D"/>
              </w:rPr>
            </w:r>
            <w:r w:rsidRPr="00DF48B9">
              <w:rPr>
                <w:noProof/>
                <w:webHidden/>
                <w:color w:val="696A6D"/>
              </w:rPr>
              <w:fldChar w:fldCharType="separate"/>
            </w:r>
            <w:r w:rsidRPr="00DF48B9">
              <w:rPr>
                <w:noProof/>
                <w:webHidden/>
                <w:color w:val="696A6D"/>
              </w:rPr>
              <w:t>9</w:t>
            </w:r>
            <w:r w:rsidRPr="00DF48B9">
              <w:rPr>
                <w:noProof/>
                <w:webHidden/>
                <w:color w:val="696A6D"/>
              </w:rPr>
              <w:fldChar w:fldCharType="end"/>
            </w:r>
          </w:hyperlink>
        </w:p>
        <w:p w14:paraId="16527CB2" w14:textId="1466A1E8"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20" w:history="1">
            <w:r w:rsidRPr="00DF48B9">
              <w:rPr>
                <w:rStyle w:val="Hyperlink"/>
                <w:noProof/>
                <w:color w:val="696A6D"/>
                <w:lang w:val="en-GB"/>
              </w:rPr>
              <w:t>Taushetserklæring og hemmelighold | Confidentiality agreement and Non-disclosure</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_Toc212534920 \h </w:instrText>
            </w:r>
            <w:r w:rsidRPr="00DF48B9">
              <w:rPr>
                <w:noProof/>
                <w:webHidden/>
                <w:color w:val="696A6D"/>
              </w:rPr>
            </w:r>
            <w:r w:rsidRPr="00DF48B9">
              <w:rPr>
                <w:noProof/>
                <w:webHidden/>
                <w:color w:val="696A6D"/>
              </w:rPr>
              <w:fldChar w:fldCharType="separate"/>
            </w:r>
            <w:r w:rsidRPr="00DF48B9">
              <w:rPr>
                <w:noProof/>
                <w:webHidden/>
                <w:color w:val="696A6D"/>
              </w:rPr>
              <w:t>10</w:t>
            </w:r>
            <w:r w:rsidRPr="00DF48B9">
              <w:rPr>
                <w:noProof/>
                <w:webHidden/>
                <w:color w:val="696A6D"/>
              </w:rPr>
              <w:fldChar w:fldCharType="end"/>
            </w:r>
          </w:hyperlink>
        </w:p>
        <w:p w14:paraId="75866B64" w14:textId="70697DCD"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21" w:history="1">
            <w:r w:rsidRPr="00DF48B9">
              <w:rPr>
                <w:rStyle w:val="Hyperlink"/>
                <w:noProof/>
                <w:color w:val="696A6D"/>
                <w:lang w:val="nb-NO"/>
              </w:rPr>
              <w:t>Informasjon | Information</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_Toc212534921 \h </w:instrText>
            </w:r>
            <w:r w:rsidRPr="00DF48B9">
              <w:rPr>
                <w:noProof/>
                <w:webHidden/>
                <w:color w:val="696A6D"/>
              </w:rPr>
            </w:r>
            <w:r w:rsidRPr="00DF48B9">
              <w:rPr>
                <w:noProof/>
                <w:webHidden/>
                <w:color w:val="696A6D"/>
              </w:rPr>
              <w:fldChar w:fldCharType="separate"/>
            </w:r>
            <w:r w:rsidRPr="00DF48B9">
              <w:rPr>
                <w:noProof/>
                <w:webHidden/>
                <w:color w:val="696A6D"/>
              </w:rPr>
              <w:t>11</w:t>
            </w:r>
            <w:r w:rsidRPr="00DF48B9">
              <w:rPr>
                <w:noProof/>
                <w:webHidden/>
                <w:color w:val="696A6D"/>
              </w:rPr>
              <w:fldChar w:fldCharType="end"/>
            </w:r>
          </w:hyperlink>
        </w:p>
        <w:p w14:paraId="40D2C1B3" w14:textId="5AF9A3AF" w:rsidR="00942A11" w:rsidRPr="00DF48B9" w:rsidRDefault="00942A11">
          <w:pPr>
            <w:pStyle w:val="TOC1"/>
            <w:tabs>
              <w:tab w:val="right" w:leader="dot" w:pos="10194"/>
            </w:tabs>
            <w:rPr>
              <w:noProof/>
              <w:color w:val="696A6D"/>
              <w:kern w:val="2"/>
              <w:sz w:val="24"/>
              <w:szCs w:val="24"/>
              <w:lang w:val="en-GB" w:eastAsia="en-GB"/>
              <w14:ligatures w14:val="standardContextual"/>
            </w:rPr>
          </w:pPr>
          <w:hyperlink w:anchor="_Toc212534922" w:history="1">
            <w:r w:rsidRPr="00DF48B9">
              <w:rPr>
                <w:rStyle w:val="Hyperlink"/>
                <w:noProof/>
                <w:color w:val="696A6D"/>
                <w:lang w:val="nb-NO"/>
              </w:rPr>
              <w:t>Krav til rapportering | Reporting requirements</w:t>
            </w:r>
            <w:r w:rsidRPr="00DF48B9">
              <w:rPr>
                <w:noProof/>
                <w:webHidden/>
                <w:color w:val="696A6D"/>
              </w:rPr>
              <w:tab/>
            </w:r>
            <w:r w:rsidRPr="00DF48B9">
              <w:rPr>
                <w:noProof/>
                <w:webHidden/>
                <w:color w:val="696A6D"/>
              </w:rPr>
              <w:fldChar w:fldCharType="begin"/>
            </w:r>
            <w:r w:rsidRPr="00DF48B9">
              <w:rPr>
                <w:noProof/>
                <w:webHidden/>
                <w:color w:val="696A6D"/>
              </w:rPr>
              <w:instrText xml:space="preserve"> PAGEREF _Toc212534922 \h </w:instrText>
            </w:r>
            <w:r w:rsidRPr="00DF48B9">
              <w:rPr>
                <w:noProof/>
                <w:webHidden/>
                <w:color w:val="696A6D"/>
              </w:rPr>
            </w:r>
            <w:r w:rsidRPr="00DF48B9">
              <w:rPr>
                <w:noProof/>
                <w:webHidden/>
                <w:color w:val="696A6D"/>
              </w:rPr>
              <w:fldChar w:fldCharType="separate"/>
            </w:r>
            <w:r w:rsidRPr="00DF48B9">
              <w:rPr>
                <w:noProof/>
                <w:webHidden/>
                <w:color w:val="696A6D"/>
              </w:rPr>
              <w:t>12</w:t>
            </w:r>
            <w:r w:rsidRPr="00DF48B9">
              <w:rPr>
                <w:noProof/>
                <w:webHidden/>
                <w:color w:val="696A6D"/>
              </w:rPr>
              <w:fldChar w:fldCharType="end"/>
            </w:r>
          </w:hyperlink>
        </w:p>
        <w:p w14:paraId="1B7BA157" w14:textId="705DC6B7" w:rsidR="00B46446" w:rsidRDefault="009269DC" w:rsidP="00B46446">
          <w:pPr>
            <w:pStyle w:val="TOC1"/>
            <w:tabs>
              <w:tab w:val="right" w:leader="dot" w:pos="9345"/>
            </w:tabs>
          </w:pPr>
          <w:r>
            <w:fldChar w:fldCharType="end"/>
          </w:r>
        </w:p>
      </w:sdtContent>
    </w:sdt>
    <w:p w14:paraId="03D0051A" w14:textId="204F40F4" w:rsidR="009269DC" w:rsidRPr="00B46446" w:rsidRDefault="009269DC" w:rsidP="00B46446">
      <w:pPr>
        <w:pStyle w:val="TOC1"/>
        <w:tabs>
          <w:tab w:val="right" w:leader="dot" w:pos="9345"/>
        </w:tabs>
        <w:rPr>
          <w:noProof/>
          <w:color w:val="0000FF" w:themeColor="hyperlink"/>
          <w:kern w:val="2"/>
          <w:u w:val="single"/>
          <w14:ligatures w14:val="standardContextual"/>
        </w:rPr>
      </w:pPr>
      <w:r w:rsidRPr="466E228B">
        <w:rPr>
          <w:lang w:val="nb-NO"/>
        </w:rPr>
        <w:br w:type="page"/>
      </w:r>
    </w:p>
    <w:p w14:paraId="5E6067F9" w14:textId="65261F55" w:rsidR="009269DC" w:rsidRDefault="009269DC" w:rsidP="009269DC">
      <w:pPr>
        <w:pStyle w:val="Heading1"/>
        <w:rPr>
          <w:lang w:val="nb-NO"/>
        </w:rPr>
      </w:pPr>
      <w:bookmarkStart w:id="2" w:name="_Toc212534913"/>
      <w:r w:rsidRPr="466E228B">
        <w:rPr>
          <w:lang w:val="nb-NO"/>
        </w:rPr>
        <w:lastRenderedPageBreak/>
        <w:t>Innledning</w:t>
      </w:r>
      <w:r w:rsidR="00C0767C">
        <w:rPr>
          <w:lang w:val="nb-NO"/>
        </w:rPr>
        <w:t xml:space="preserve"> </w:t>
      </w:r>
      <w:r w:rsidR="004636E9">
        <w:rPr>
          <w:lang w:val="nb-NO"/>
        </w:rPr>
        <w:t>|</w:t>
      </w:r>
      <w:r w:rsidR="00C0767C">
        <w:rPr>
          <w:lang w:val="nb-NO"/>
        </w:rPr>
        <w:t xml:space="preserve"> </w:t>
      </w:r>
      <w:r w:rsidR="002013B6">
        <w:rPr>
          <w:lang w:val="nb-NO"/>
        </w:rPr>
        <w:t>I</w:t>
      </w:r>
      <w:r w:rsidR="00C0767C">
        <w:rPr>
          <w:lang w:val="nb-NO"/>
        </w:rPr>
        <w:t>ntroduction</w:t>
      </w:r>
      <w:bookmarkEnd w:id="2"/>
    </w:p>
    <w:p w14:paraId="699DBA52" w14:textId="77777777" w:rsidR="007618AB" w:rsidRPr="00FB5DCF" w:rsidRDefault="007618AB" w:rsidP="009269DC">
      <w:pPr>
        <w:spacing w:before="120" w:after="160"/>
        <w:rPr>
          <w:rFonts w:ascii="Aptos" w:eastAsia="Aptos" w:hAnsi="Aptos" w:cs="Aptos"/>
          <w:i/>
          <w:iCs/>
          <w:color w:val="696A6D"/>
          <w:lang w:val="nb-NO"/>
        </w:rPr>
      </w:pPr>
    </w:p>
    <w:p w14:paraId="7E15A9CD" w14:textId="77777777" w:rsidR="007344C3" w:rsidRDefault="007344C3" w:rsidP="009269DC">
      <w:pPr>
        <w:spacing w:before="120" w:after="160"/>
        <w:rPr>
          <w:rFonts w:ascii="Aptos" w:eastAsia="Aptos" w:hAnsi="Aptos" w:cs="Aptos"/>
          <w:color w:val="696A6D"/>
          <w:lang w:val="nb-NO"/>
        </w:rPr>
        <w:sectPr w:rsidR="007344C3" w:rsidSect="008D083A">
          <w:headerReference w:type="even" r:id="rId11"/>
          <w:headerReference w:type="default" r:id="rId12"/>
          <w:footerReference w:type="default" r:id="rId13"/>
          <w:headerReference w:type="first" r:id="rId14"/>
          <w:pgSz w:w="11906" w:h="16838"/>
          <w:pgMar w:top="2700" w:right="851" w:bottom="1418" w:left="851" w:header="709" w:footer="709" w:gutter="0"/>
          <w:cols w:space="708"/>
          <w:docGrid w:linePitch="360"/>
        </w:sectPr>
      </w:pPr>
    </w:p>
    <w:p w14:paraId="6B3EFD03" w14:textId="684F447A" w:rsidR="00CD00F0" w:rsidRDefault="00CD00F0" w:rsidP="009269DC">
      <w:pPr>
        <w:spacing w:before="120" w:after="160"/>
        <w:rPr>
          <w:rFonts w:ascii="Aptos" w:eastAsia="Aptos" w:hAnsi="Aptos" w:cs="Aptos"/>
          <w:color w:val="696A6D"/>
          <w:lang w:val="nb-NO"/>
        </w:rPr>
      </w:pPr>
      <w:r>
        <w:rPr>
          <w:rFonts w:ascii="Aptos" w:eastAsia="Aptos" w:hAnsi="Aptos" w:cs="Aptos"/>
          <w:color w:val="696A6D"/>
          <w:lang w:val="nb-NO"/>
        </w:rPr>
        <w:t xml:space="preserve">Nemkofondet er eid av </w:t>
      </w:r>
      <w:r w:rsidRPr="00CD00F0">
        <w:rPr>
          <w:rFonts w:ascii="Aptos" w:eastAsia="Aptos" w:hAnsi="Aptos" w:cs="Aptos"/>
          <w:i/>
          <w:iCs/>
          <w:color w:val="696A6D"/>
          <w:lang w:val="nb-NO"/>
        </w:rPr>
        <w:t>Stiftelsen Norges Elektriske Materiellkontroll (NEMKO)</w:t>
      </w:r>
      <w:r>
        <w:rPr>
          <w:rFonts w:ascii="Aptos" w:eastAsia="Aptos" w:hAnsi="Aptos" w:cs="Aptos"/>
          <w:i/>
          <w:iCs/>
          <w:color w:val="696A6D"/>
          <w:lang w:val="nb-NO"/>
        </w:rPr>
        <w:t>.</w:t>
      </w:r>
    </w:p>
    <w:p w14:paraId="0DA83204" w14:textId="355D0FA3" w:rsidR="009269DC" w:rsidRDefault="00CD00F0" w:rsidP="009269DC">
      <w:pPr>
        <w:spacing w:before="120" w:after="160"/>
        <w:rPr>
          <w:rFonts w:ascii="Aptos" w:eastAsia="Aptos" w:hAnsi="Aptos" w:cs="Aptos"/>
          <w:color w:val="696A6D"/>
          <w:lang w:val="nb-NO"/>
        </w:rPr>
      </w:pPr>
      <w:r>
        <w:rPr>
          <w:rFonts w:ascii="Aptos" w:eastAsia="Aptos" w:hAnsi="Aptos" w:cs="Aptos"/>
          <w:color w:val="696A6D"/>
          <w:lang w:val="nb-NO"/>
        </w:rPr>
        <w:t>Det</w:t>
      </w:r>
      <w:r w:rsidR="009269DC" w:rsidRPr="051B22EE">
        <w:rPr>
          <w:rFonts w:ascii="Aptos" w:eastAsia="Aptos" w:hAnsi="Aptos" w:cs="Aptos"/>
          <w:color w:val="696A6D"/>
          <w:lang w:val="nb-NO"/>
        </w:rPr>
        <w:t xml:space="preserve"> er etablert ut fra en motivasjon om å stimulere til innovasjon, utvikling og fremtidsrettet bruk av ny teknologi.</w:t>
      </w:r>
    </w:p>
    <w:p w14:paraId="089387F1" w14:textId="77777777" w:rsidR="009269DC" w:rsidRDefault="009269DC" w:rsidP="009269DC">
      <w:pPr>
        <w:spacing w:before="120" w:after="160"/>
        <w:rPr>
          <w:rFonts w:ascii="Aptos" w:eastAsia="Aptos" w:hAnsi="Aptos" w:cs="Aptos"/>
          <w:color w:val="696A6D"/>
          <w:lang w:val="nb-NO"/>
        </w:rPr>
      </w:pPr>
      <w:r w:rsidRPr="051B22EE">
        <w:rPr>
          <w:rFonts w:ascii="Aptos" w:eastAsia="Aptos" w:hAnsi="Aptos" w:cs="Aptos"/>
          <w:color w:val="696A6D"/>
          <w:lang w:val="nb-NO"/>
        </w:rPr>
        <w:t>Teknologiutvikling støter raskt på økonomiske hindringer og Nemkofondet ønsker å avlaste risikoen i ulike faser av en utviklingsprosess for å sikre at gode ideer kan realiseres.</w:t>
      </w:r>
    </w:p>
    <w:p w14:paraId="1ED2DCC7" w14:textId="77777777" w:rsidR="009269DC" w:rsidRDefault="009269DC" w:rsidP="009269DC">
      <w:pPr>
        <w:spacing w:before="120" w:after="160"/>
        <w:rPr>
          <w:rFonts w:ascii="Aptos" w:eastAsia="Aptos" w:hAnsi="Aptos" w:cs="Aptos"/>
          <w:b/>
          <w:bCs/>
          <w:color w:val="696A6D"/>
          <w:lang w:val="nb-NO"/>
        </w:rPr>
      </w:pPr>
      <w:r w:rsidRPr="466E228B">
        <w:rPr>
          <w:rFonts w:ascii="Aptos" w:eastAsia="Aptos" w:hAnsi="Aptos" w:cs="Aptos"/>
          <w:b/>
          <w:bCs/>
          <w:color w:val="696A6D"/>
          <w:lang w:val="nb-NO"/>
        </w:rPr>
        <w:t>Hvem kan søke om midler:</w:t>
      </w:r>
    </w:p>
    <w:p w14:paraId="1A6C88ED" w14:textId="77777777" w:rsidR="009269DC" w:rsidRDefault="009269DC" w:rsidP="009269DC">
      <w:pPr>
        <w:pStyle w:val="ListParagraph"/>
        <w:numPr>
          <w:ilvl w:val="0"/>
          <w:numId w:val="4"/>
        </w:numPr>
        <w:tabs>
          <w:tab w:val="left" w:pos="720"/>
        </w:tabs>
        <w:spacing w:before="120" w:after="0"/>
        <w:rPr>
          <w:color w:val="696A6D"/>
          <w:lang w:val="nb-NO"/>
        </w:rPr>
      </w:pPr>
      <w:r w:rsidRPr="466E228B">
        <w:rPr>
          <w:color w:val="696A6D"/>
          <w:lang w:val="nb-NO"/>
        </w:rPr>
        <w:t>Norske forskningsmiljøer og akademiske institusjoner.</w:t>
      </w:r>
    </w:p>
    <w:p w14:paraId="50CD9C47" w14:textId="77777777" w:rsidR="009269DC" w:rsidRDefault="009269DC" w:rsidP="009269DC">
      <w:pPr>
        <w:pStyle w:val="ListParagraph"/>
        <w:numPr>
          <w:ilvl w:val="0"/>
          <w:numId w:val="3"/>
        </w:numPr>
        <w:tabs>
          <w:tab w:val="left" w:pos="720"/>
        </w:tabs>
        <w:spacing w:before="120" w:after="0"/>
        <w:rPr>
          <w:color w:val="696A6D"/>
          <w:lang w:val="nb-NO"/>
        </w:rPr>
      </w:pPr>
      <w:r w:rsidRPr="466E228B">
        <w:rPr>
          <w:color w:val="696A6D"/>
          <w:lang w:val="nb-NO"/>
        </w:rPr>
        <w:t xml:space="preserve">Selskaper og bedrifter med relevante prosjekter innen system- og produktutvikling. </w:t>
      </w:r>
    </w:p>
    <w:p w14:paraId="7AF121C3" w14:textId="77777777" w:rsidR="009269DC" w:rsidRDefault="009269DC" w:rsidP="009269DC">
      <w:pPr>
        <w:pStyle w:val="ListParagraph"/>
        <w:numPr>
          <w:ilvl w:val="0"/>
          <w:numId w:val="2"/>
        </w:numPr>
        <w:tabs>
          <w:tab w:val="left" w:pos="720"/>
        </w:tabs>
        <w:spacing w:before="120" w:after="0"/>
        <w:rPr>
          <w:color w:val="696A6D"/>
          <w:lang w:val="nb-NO"/>
        </w:rPr>
      </w:pPr>
      <w:proofErr w:type="spellStart"/>
      <w:r w:rsidRPr="466E228B">
        <w:rPr>
          <w:color w:val="696A6D"/>
          <w:lang w:val="nb-NO"/>
        </w:rPr>
        <w:t>Startups</w:t>
      </w:r>
      <w:proofErr w:type="spellEnd"/>
      <w:r w:rsidRPr="466E228B">
        <w:rPr>
          <w:color w:val="696A6D"/>
          <w:lang w:val="nb-NO"/>
        </w:rPr>
        <w:t xml:space="preserve"> og innovatører med ideer og prosjekter som støtter fondets formål.</w:t>
      </w:r>
    </w:p>
    <w:p w14:paraId="0FA92B1B" w14:textId="77777777" w:rsidR="009269DC" w:rsidRDefault="009269DC" w:rsidP="009269DC">
      <w:pPr>
        <w:rPr>
          <w:lang w:val="nb-NO"/>
        </w:rPr>
      </w:pPr>
    </w:p>
    <w:p w14:paraId="048EF473" w14:textId="79BE0A66" w:rsidR="0027270A" w:rsidRPr="00EC0D2A" w:rsidRDefault="0027270A" w:rsidP="00971A90">
      <w:pPr>
        <w:rPr>
          <w:lang w:val="nb-NO"/>
        </w:rPr>
      </w:pPr>
    </w:p>
    <w:p w14:paraId="08440119" w14:textId="77777777" w:rsidR="00CD00F0" w:rsidRPr="00F405F7" w:rsidRDefault="00CD00F0" w:rsidP="00971A90">
      <w:pPr>
        <w:rPr>
          <w:color w:val="696A6D"/>
          <w:lang w:val="en-GB"/>
        </w:rPr>
      </w:pPr>
      <w:r w:rsidRPr="00F405F7">
        <w:rPr>
          <w:color w:val="696A6D"/>
          <w:lang w:val="nb-NO"/>
        </w:rPr>
        <w:t xml:space="preserve">Nemkofondet is </w:t>
      </w:r>
      <w:proofErr w:type="spellStart"/>
      <w:r w:rsidRPr="00F405F7">
        <w:rPr>
          <w:color w:val="696A6D"/>
          <w:lang w:val="nb-NO"/>
        </w:rPr>
        <w:t>owned</w:t>
      </w:r>
      <w:proofErr w:type="spellEnd"/>
      <w:r w:rsidRPr="00F405F7">
        <w:rPr>
          <w:color w:val="696A6D"/>
          <w:lang w:val="nb-NO"/>
        </w:rPr>
        <w:t xml:space="preserve"> by </w:t>
      </w:r>
      <w:r w:rsidRPr="00F405F7">
        <w:rPr>
          <w:i/>
          <w:iCs/>
          <w:color w:val="696A6D"/>
          <w:lang w:val="nb-NO"/>
        </w:rPr>
        <w:t>Stiftelsen Norges Elektriske Materiellkontroll (NEMKO).</w:t>
      </w:r>
      <w:r w:rsidRPr="00F405F7">
        <w:rPr>
          <w:color w:val="696A6D"/>
          <w:lang w:val="nb-NO"/>
        </w:rPr>
        <w:br/>
      </w:r>
      <w:r w:rsidRPr="00F405F7">
        <w:rPr>
          <w:color w:val="696A6D"/>
          <w:lang w:val="en-GB"/>
        </w:rPr>
        <w:t>It</w:t>
      </w:r>
      <w:r w:rsidR="00971A90" w:rsidRPr="00F405F7">
        <w:rPr>
          <w:color w:val="696A6D"/>
          <w:lang w:val="en-GB"/>
        </w:rPr>
        <w:t xml:space="preserve"> </w:t>
      </w:r>
      <w:r w:rsidRPr="00F405F7">
        <w:rPr>
          <w:color w:val="696A6D"/>
          <w:lang w:val="en-GB"/>
        </w:rPr>
        <w:t>is</w:t>
      </w:r>
      <w:r w:rsidR="00971A90" w:rsidRPr="00F405F7">
        <w:rPr>
          <w:color w:val="696A6D"/>
          <w:lang w:val="en-GB"/>
        </w:rPr>
        <w:t xml:space="preserve"> established with the motivation to promote innovation, development, and future use of new technology.</w:t>
      </w:r>
    </w:p>
    <w:p w14:paraId="728AE939" w14:textId="573E3354" w:rsidR="00971A90" w:rsidRPr="00F405F7" w:rsidRDefault="00971A90" w:rsidP="00971A90">
      <w:pPr>
        <w:rPr>
          <w:color w:val="696A6D"/>
          <w:lang w:val="en-GB"/>
        </w:rPr>
      </w:pPr>
      <w:r w:rsidRPr="00F405F7">
        <w:rPr>
          <w:color w:val="696A6D"/>
          <w:lang w:val="en-GB"/>
        </w:rPr>
        <w:t>Technological development often faces financial barriers, and Nemkofondet aims to reduce risk at various stages of the development process to help ensure good ideas to be realized.</w:t>
      </w:r>
    </w:p>
    <w:p w14:paraId="5622116A" w14:textId="77777777" w:rsidR="00971A90" w:rsidRPr="00F405F7" w:rsidRDefault="00971A90" w:rsidP="00971A90">
      <w:pPr>
        <w:rPr>
          <w:color w:val="696A6D"/>
          <w:lang w:val="en-GB"/>
        </w:rPr>
      </w:pPr>
      <w:r w:rsidRPr="00F405F7">
        <w:rPr>
          <w:b/>
          <w:bCs/>
          <w:color w:val="696A6D"/>
          <w:lang w:val="en-GB"/>
        </w:rPr>
        <w:t>Who can apply for funding:</w:t>
      </w:r>
    </w:p>
    <w:p w14:paraId="7402E3F3" w14:textId="5A86A368" w:rsidR="00971A90" w:rsidRPr="00F405F7" w:rsidRDefault="00971A90" w:rsidP="00971A90">
      <w:pPr>
        <w:numPr>
          <w:ilvl w:val="0"/>
          <w:numId w:val="7"/>
        </w:numPr>
        <w:rPr>
          <w:color w:val="696A6D"/>
          <w:lang w:val="en-GB"/>
        </w:rPr>
      </w:pPr>
      <w:r w:rsidRPr="00F405F7">
        <w:rPr>
          <w:color w:val="696A6D"/>
          <w:lang w:val="en-GB"/>
        </w:rPr>
        <w:t>Norwegian R&amp;D communities and academic institutions.</w:t>
      </w:r>
    </w:p>
    <w:p w14:paraId="2DEFD651" w14:textId="77777777" w:rsidR="00971A90" w:rsidRPr="00F405F7" w:rsidRDefault="00971A90" w:rsidP="00971A90">
      <w:pPr>
        <w:numPr>
          <w:ilvl w:val="0"/>
          <w:numId w:val="7"/>
        </w:numPr>
        <w:rPr>
          <w:color w:val="696A6D"/>
          <w:lang w:val="en-GB"/>
        </w:rPr>
      </w:pPr>
      <w:r w:rsidRPr="00F405F7">
        <w:rPr>
          <w:color w:val="696A6D"/>
          <w:lang w:val="en-GB"/>
        </w:rPr>
        <w:t>Companies and businesses with relevant projects in system and product development.</w:t>
      </w:r>
    </w:p>
    <w:p w14:paraId="64FDB0C6" w14:textId="77777777" w:rsidR="00971A90" w:rsidRPr="00F405F7" w:rsidRDefault="00971A90" w:rsidP="00971A90">
      <w:pPr>
        <w:numPr>
          <w:ilvl w:val="0"/>
          <w:numId w:val="7"/>
        </w:numPr>
        <w:rPr>
          <w:color w:val="696A6D"/>
          <w:lang w:val="en-GB"/>
        </w:rPr>
      </w:pPr>
      <w:r w:rsidRPr="00F405F7">
        <w:rPr>
          <w:color w:val="696A6D"/>
          <w:lang w:val="en-GB"/>
        </w:rPr>
        <w:t>Startups and innovators with ideas and projects that support the fund’s purpose.</w:t>
      </w:r>
    </w:p>
    <w:p w14:paraId="2020186F" w14:textId="77777777" w:rsidR="007618AB" w:rsidRDefault="007618AB" w:rsidP="009269DC">
      <w:pPr>
        <w:rPr>
          <w:lang w:val="en-GB"/>
        </w:rPr>
        <w:sectPr w:rsidR="007618AB" w:rsidSect="007618AB">
          <w:type w:val="continuous"/>
          <w:pgSz w:w="11906" w:h="16838"/>
          <w:pgMar w:top="2700" w:right="851" w:bottom="1418" w:left="851" w:header="709" w:footer="709" w:gutter="0"/>
          <w:cols w:num="2" w:space="708"/>
          <w:docGrid w:linePitch="360"/>
        </w:sectPr>
      </w:pPr>
    </w:p>
    <w:p w14:paraId="0B468BF9" w14:textId="77777777" w:rsidR="00971A90" w:rsidRPr="00971A90" w:rsidRDefault="00971A90" w:rsidP="009269DC">
      <w:pPr>
        <w:rPr>
          <w:lang w:val="en-GB"/>
        </w:rPr>
      </w:pPr>
    </w:p>
    <w:p w14:paraId="67E7689F" w14:textId="77777777" w:rsidR="009269DC" w:rsidRPr="00971A90" w:rsidRDefault="009269DC" w:rsidP="009269DC">
      <w:pPr>
        <w:rPr>
          <w:lang w:val="en-GB"/>
        </w:rPr>
      </w:pPr>
    </w:p>
    <w:p w14:paraId="33A59658" w14:textId="77777777" w:rsidR="009269DC" w:rsidRPr="00971A90" w:rsidRDefault="009269DC" w:rsidP="009269DC">
      <w:pPr>
        <w:rPr>
          <w:lang w:val="en-GB"/>
        </w:rPr>
      </w:pPr>
    </w:p>
    <w:p w14:paraId="08A95703" w14:textId="31CA6F57" w:rsidR="009269DC" w:rsidRPr="00971A90" w:rsidRDefault="009269DC" w:rsidP="009269DC">
      <w:pPr>
        <w:rPr>
          <w:lang w:val="en-GB"/>
        </w:rPr>
      </w:pPr>
      <w:r w:rsidRPr="00971A90">
        <w:rPr>
          <w:lang w:val="en-GB"/>
        </w:rPr>
        <w:br w:type="page"/>
      </w:r>
    </w:p>
    <w:p w14:paraId="637BC05D" w14:textId="738E76B9" w:rsidR="009269DC" w:rsidRDefault="009269DC" w:rsidP="009269DC">
      <w:pPr>
        <w:pStyle w:val="Heading1"/>
        <w:rPr>
          <w:lang w:val="nb-NO"/>
        </w:rPr>
      </w:pPr>
      <w:bookmarkStart w:id="3" w:name="_Toc212534914"/>
      <w:r w:rsidRPr="466E228B">
        <w:rPr>
          <w:lang w:val="nb-NO"/>
        </w:rPr>
        <w:lastRenderedPageBreak/>
        <w:t>Formål</w:t>
      </w:r>
      <w:r w:rsidR="00C0767C">
        <w:rPr>
          <w:lang w:val="nb-NO"/>
        </w:rPr>
        <w:t xml:space="preserve"> </w:t>
      </w:r>
      <w:r w:rsidR="004636E9">
        <w:rPr>
          <w:lang w:val="nb-NO"/>
        </w:rPr>
        <w:t>|</w:t>
      </w:r>
      <w:r w:rsidR="00C0767C">
        <w:rPr>
          <w:lang w:val="nb-NO"/>
        </w:rPr>
        <w:t xml:space="preserve"> </w:t>
      </w:r>
      <w:r w:rsidR="002013B6">
        <w:rPr>
          <w:lang w:val="nb-NO"/>
        </w:rPr>
        <w:t>P</w:t>
      </w:r>
      <w:r w:rsidR="00C0767C">
        <w:rPr>
          <w:lang w:val="nb-NO"/>
        </w:rPr>
        <w:t>urpose</w:t>
      </w:r>
      <w:bookmarkEnd w:id="3"/>
    </w:p>
    <w:p w14:paraId="12B560A4" w14:textId="77777777" w:rsidR="002B5062" w:rsidRDefault="002B5062" w:rsidP="009269DC">
      <w:pPr>
        <w:spacing w:before="120" w:after="0"/>
        <w:rPr>
          <w:rFonts w:ascii="Aptos" w:eastAsia="Aptos" w:hAnsi="Aptos" w:cs="Aptos"/>
          <w:color w:val="696A6D"/>
          <w:lang w:val="nb-NO"/>
        </w:rPr>
        <w:sectPr w:rsidR="002B5062" w:rsidSect="007618AB">
          <w:type w:val="continuous"/>
          <w:pgSz w:w="11906" w:h="16838"/>
          <w:pgMar w:top="2700" w:right="851" w:bottom="1418" w:left="851" w:header="709" w:footer="709" w:gutter="0"/>
          <w:cols w:space="708"/>
          <w:docGrid w:linePitch="360"/>
        </w:sectPr>
      </w:pPr>
    </w:p>
    <w:p w14:paraId="6BCE3111" w14:textId="52308CD7" w:rsidR="002013B6" w:rsidRDefault="002013B6" w:rsidP="009269DC">
      <w:pPr>
        <w:spacing w:before="120" w:after="0"/>
        <w:rPr>
          <w:rFonts w:ascii="Aptos" w:eastAsia="Aptos" w:hAnsi="Aptos" w:cs="Aptos"/>
          <w:color w:val="696A6D"/>
          <w:lang w:val="nb-NO"/>
        </w:rPr>
      </w:pPr>
    </w:p>
    <w:p w14:paraId="2BAFF679" w14:textId="43CB5D7C" w:rsidR="009269DC" w:rsidRDefault="009269DC" w:rsidP="009269DC">
      <w:pPr>
        <w:spacing w:before="120" w:after="0"/>
        <w:rPr>
          <w:rFonts w:ascii="Aptos" w:eastAsia="Aptos" w:hAnsi="Aptos" w:cs="Aptos"/>
          <w:color w:val="696A6D"/>
          <w:lang w:val="nb-NO"/>
        </w:rPr>
      </w:pPr>
      <w:proofErr w:type="spellStart"/>
      <w:r w:rsidRPr="051B22EE">
        <w:rPr>
          <w:rFonts w:ascii="Aptos" w:eastAsia="Aptos" w:hAnsi="Aptos" w:cs="Aptos"/>
          <w:color w:val="696A6D"/>
          <w:lang w:val="nb-NO"/>
        </w:rPr>
        <w:t>Nemkofondets</w:t>
      </w:r>
      <w:proofErr w:type="spellEnd"/>
      <w:r w:rsidRPr="051B22EE">
        <w:rPr>
          <w:rFonts w:ascii="Aptos" w:eastAsia="Aptos" w:hAnsi="Aptos" w:cs="Aptos"/>
          <w:color w:val="696A6D"/>
          <w:lang w:val="nb-NO"/>
        </w:rPr>
        <w:t xml:space="preserve"> formål er å støtte teknologiutviklingen i Norge ved å yte risikoavlastende økonomisk støtte til prosjekter og/eller prosesser som søker å utvikle produkter eller systemer som kan komme samfunnet til gode.</w:t>
      </w:r>
    </w:p>
    <w:p w14:paraId="188F4831"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Fondet skal særlig prioritere prosjekter som aktivt bruker og utvikler ny teknologi.</w:t>
      </w:r>
    </w:p>
    <w:p w14:paraId="4BD1372C"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Midlene skal bidra til å overkomme barrierer relatert til regulatorisk samsvar og markedsadgang.</w:t>
      </w:r>
    </w:p>
    <w:p w14:paraId="343E75BE" w14:textId="14C7E549"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 xml:space="preserve">Gjennom å støtte slike innovative initiativer </w:t>
      </w:r>
      <w:r>
        <w:rPr>
          <w:rFonts w:ascii="Aptos" w:eastAsia="Aptos" w:hAnsi="Aptos" w:cs="Aptos"/>
          <w:color w:val="696A6D"/>
          <w:lang w:val="nb-NO"/>
        </w:rPr>
        <w:t>kan</w:t>
      </w:r>
      <w:r w:rsidRPr="466E228B">
        <w:rPr>
          <w:rFonts w:ascii="Aptos" w:eastAsia="Aptos" w:hAnsi="Aptos" w:cs="Aptos"/>
          <w:color w:val="696A6D"/>
          <w:lang w:val="nb-NO"/>
        </w:rPr>
        <w:t xml:space="preserve"> fondet også bidra positivt til Nemko Group AS sitt omdømme, synlighet og konkurransekraft.</w:t>
      </w:r>
    </w:p>
    <w:p w14:paraId="6B89D65B" w14:textId="77777777" w:rsidR="002013B6" w:rsidRDefault="002013B6" w:rsidP="002B5062">
      <w:pPr>
        <w:spacing w:before="120" w:after="0"/>
        <w:rPr>
          <w:rFonts w:ascii="Aptos" w:eastAsia="Aptos" w:hAnsi="Aptos" w:cs="Aptos"/>
          <w:color w:val="696A6D"/>
          <w:lang w:val="nb-NO"/>
        </w:rPr>
      </w:pPr>
    </w:p>
    <w:p w14:paraId="28566121" w14:textId="77777777" w:rsidR="002013B6" w:rsidRPr="00DF48B9" w:rsidRDefault="002013B6" w:rsidP="002B5062">
      <w:pPr>
        <w:spacing w:before="120" w:after="0"/>
        <w:rPr>
          <w:rFonts w:ascii="Aptos" w:eastAsia="Aptos" w:hAnsi="Aptos" w:cs="Aptos"/>
          <w:color w:val="696A6D"/>
          <w:lang w:val="nb-NO"/>
        </w:rPr>
      </w:pPr>
    </w:p>
    <w:p w14:paraId="584D7B3C" w14:textId="603D3CE7" w:rsidR="0027270A" w:rsidRPr="002013B6" w:rsidRDefault="00971A90" w:rsidP="002B5062">
      <w:pPr>
        <w:spacing w:before="120" w:after="0"/>
        <w:rPr>
          <w:rFonts w:ascii="Aptos" w:eastAsia="Aptos" w:hAnsi="Aptos" w:cs="Aptos"/>
          <w:color w:val="696A6D"/>
          <w:lang w:val="en-GB"/>
        </w:rPr>
      </w:pPr>
      <w:r w:rsidRPr="002013B6">
        <w:rPr>
          <w:rFonts w:ascii="Aptos" w:eastAsia="Aptos" w:hAnsi="Aptos" w:cs="Aptos"/>
          <w:color w:val="696A6D"/>
          <w:lang w:val="en-GB"/>
        </w:rPr>
        <w:t>The purpose of Nemkofondet is to support technological development in Norway by providing risk-mitigating financial support to projects and/or processes that aim to develop products or systems that benefit society.</w:t>
      </w:r>
    </w:p>
    <w:p w14:paraId="64A5EB52" w14:textId="6EC1AAA6" w:rsidR="0027270A" w:rsidRPr="00DF48B9" w:rsidRDefault="00971A90" w:rsidP="002B5062">
      <w:pPr>
        <w:spacing w:before="120" w:after="0"/>
        <w:rPr>
          <w:rFonts w:ascii="Aptos" w:eastAsia="Aptos" w:hAnsi="Aptos" w:cs="Aptos"/>
          <w:color w:val="696A6D"/>
          <w:lang w:val="en-GB"/>
        </w:rPr>
      </w:pPr>
      <w:r w:rsidRPr="00DF48B9">
        <w:rPr>
          <w:rFonts w:ascii="Aptos" w:eastAsia="Aptos" w:hAnsi="Aptos" w:cs="Aptos"/>
          <w:color w:val="696A6D"/>
          <w:lang w:val="en-GB"/>
        </w:rPr>
        <w:t>The fund will give priority to projects that actively use and develop new technology.</w:t>
      </w:r>
    </w:p>
    <w:p w14:paraId="3388A67A" w14:textId="3EB10052" w:rsidR="0027270A" w:rsidRPr="00DF48B9" w:rsidRDefault="00971A90" w:rsidP="002B5062">
      <w:pPr>
        <w:spacing w:before="120" w:after="0"/>
        <w:rPr>
          <w:rFonts w:ascii="Aptos" w:eastAsia="Aptos" w:hAnsi="Aptos" w:cs="Aptos"/>
          <w:color w:val="696A6D"/>
          <w:lang w:val="en-GB"/>
        </w:rPr>
      </w:pPr>
      <w:r w:rsidRPr="00DF48B9">
        <w:rPr>
          <w:rFonts w:ascii="Aptos" w:eastAsia="Aptos" w:hAnsi="Aptos" w:cs="Aptos"/>
          <w:color w:val="696A6D"/>
          <w:lang w:val="en-GB"/>
        </w:rPr>
        <w:t xml:space="preserve">The funding </w:t>
      </w:r>
      <w:r w:rsidR="0027270A" w:rsidRPr="00DF48B9">
        <w:rPr>
          <w:rFonts w:ascii="Aptos" w:eastAsia="Aptos" w:hAnsi="Aptos" w:cs="Aptos"/>
          <w:color w:val="696A6D"/>
          <w:lang w:val="en-GB"/>
        </w:rPr>
        <w:t>shall</w:t>
      </w:r>
      <w:r w:rsidRPr="00DF48B9">
        <w:rPr>
          <w:rFonts w:ascii="Aptos" w:eastAsia="Aptos" w:hAnsi="Aptos" w:cs="Aptos"/>
          <w:color w:val="696A6D"/>
          <w:lang w:val="en-GB"/>
        </w:rPr>
        <w:t xml:space="preserve"> help overcome barriers related to regulatory compliance and market access.</w:t>
      </w:r>
    </w:p>
    <w:p w14:paraId="112F8B4D" w14:textId="69C3B123" w:rsidR="00971A90" w:rsidRPr="00DF48B9" w:rsidRDefault="00971A90" w:rsidP="002B5062">
      <w:pPr>
        <w:spacing w:before="120" w:after="0"/>
        <w:rPr>
          <w:rFonts w:ascii="Aptos" w:eastAsia="Aptos" w:hAnsi="Aptos" w:cs="Aptos"/>
          <w:color w:val="696A6D"/>
          <w:lang w:val="en-GB"/>
        </w:rPr>
      </w:pPr>
      <w:r w:rsidRPr="00DF48B9">
        <w:rPr>
          <w:rFonts w:ascii="Aptos" w:eastAsia="Aptos" w:hAnsi="Aptos" w:cs="Aptos"/>
          <w:color w:val="696A6D"/>
          <w:lang w:val="en-GB"/>
        </w:rPr>
        <w:t xml:space="preserve">By supporting such innovative initiatives, the fund can also contribute to Nemko Group AS’s reputation, </w:t>
      </w:r>
      <w:r w:rsidR="0027270A" w:rsidRPr="00DF48B9">
        <w:rPr>
          <w:rFonts w:ascii="Aptos" w:eastAsia="Aptos" w:hAnsi="Aptos" w:cs="Aptos"/>
          <w:color w:val="696A6D"/>
          <w:lang w:val="en-GB"/>
        </w:rPr>
        <w:t>exposure</w:t>
      </w:r>
      <w:r w:rsidRPr="00DF48B9">
        <w:rPr>
          <w:rFonts w:ascii="Aptos" w:eastAsia="Aptos" w:hAnsi="Aptos" w:cs="Aptos"/>
          <w:color w:val="696A6D"/>
          <w:lang w:val="en-GB"/>
        </w:rPr>
        <w:t>, and competitiveness</w:t>
      </w:r>
      <w:r w:rsidR="0027270A" w:rsidRPr="00DF48B9">
        <w:rPr>
          <w:rFonts w:ascii="Aptos" w:eastAsia="Aptos" w:hAnsi="Aptos" w:cs="Aptos"/>
          <w:color w:val="696A6D"/>
          <w:lang w:val="en-GB"/>
        </w:rPr>
        <w:t xml:space="preserve"> in a positive way. </w:t>
      </w:r>
    </w:p>
    <w:p w14:paraId="53492DB9" w14:textId="77777777" w:rsidR="002B5062" w:rsidRDefault="002B5062" w:rsidP="009269DC">
      <w:pPr>
        <w:spacing w:before="120" w:after="120"/>
        <w:rPr>
          <w:rFonts w:ascii="Aptos" w:eastAsia="Aptos" w:hAnsi="Aptos" w:cs="Aptos"/>
          <w:color w:val="696A6D"/>
          <w:lang w:val="en-GB"/>
        </w:rPr>
        <w:sectPr w:rsidR="002B5062" w:rsidSect="002B5062">
          <w:type w:val="continuous"/>
          <w:pgSz w:w="11906" w:h="16838"/>
          <w:pgMar w:top="2700" w:right="851" w:bottom="1418" w:left="851" w:header="709" w:footer="709" w:gutter="0"/>
          <w:cols w:num="2" w:space="708"/>
          <w:docGrid w:linePitch="360"/>
        </w:sectPr>
      </w:pPr>
    </w:p>
    <w:p w14:paraId="07AA7308" w14:textId="77777777" w:rsidR="00971A90" w:rsidRPr="00971A90" w:rsidRDefault="00971A90" w:rsidP="009269DC">
      <w:pPr>
        <w:spacing w:before="120" w:after="120"/>
        <w:rPr>
          <w:rFonts w:ascii="Aptos" w:eastAsia="Aptos" w:hAnsi="Aptos" w:cs="Aptos"/>
          <w:color w:val="696A6D"/>
          <w:lang w:val="en-GB"/>
        </w:rPr>
      </w:pPr>
    </w:p>
    <w:p w14:paraId="0457FE89" w14:textId="46BA5B9E" w:rsidR="009269DC" w:rsidRPr="00971A90" w:rsidRDefault="009269DC" w:rsidP="009269DC">
      <w:pPr>
        <w:rPr>
          <w:lang w:val="en-GB"/>
        </w:rPr>
      </w:pPr>
      <w:r w:rsidRPr="00971A90">
        <w:rPr>
          <w:lang w:val="en-GB"/>
        </w:rPr>
        <w:br w:type="page"/>
      </w:r>
    </w:p>
    <w:p w14:paraId="3ECC7BDA" w14:textId="1CE05882" w:rsidR="009269DC" w:rsidRDefault="009269DC" w:rsidP="009269DC">
      <w:pPr>
        <w:pStyle w:val="Heading1"/>
        <w:rPr>
          <w:lang w:val="nb-NO"/>
        </w:rPr>
      </w:pPr>
      <w:bookmarkStart w:id="4" w:name="_Toc212534915"/>
      <w:r w:rsidRPr="466E228B">
        <w:rPr>
          <w:lang w:val="nb-NO"/>
        </w:rPr>
        <w:lastRenderedPageBreak/>
        <w:t>Vurderingskriterier og prioriteringe</w:t>
      </w:r>
      <w:r w:rsidR="00106E0C">
        <w:rPr>
          <w:lang w:val="nb-NO"/>
        </w:rPr>
        <w:t xml:space="preserve">r | </w:t>
      </w:r>
      <w:r w:rsidR="002013B6">
        <w:rPr>
          <w:lang w:val="nb-NO"/>
        </w:rPr>
        <w:t>As</w:t>
      </w:r>
      <w:r w:rsidR="00842697">
        <w:rPr>
          <w:lang w:val="nb-NO"/>
        </w:rPr>
        <w:t>sessment criteria and priorities</w:t>
      </w:r>
      <w:bookmarkEnd w:id="4"/>
    </w:p>
    <w:p w14:paraId="45B828DF" w14:textId="77777777" w:rsidR="009269DC" w:rsidRDefault="009269DC" w:rsidP="009269DC">
      <w:pPr>
        <w:tabs>
          <w:tab w:val="left" w:pos="720"/>
        </w:tabs>
        <w:rPr>
          <w:color w:val="696A6D"/>
          <w:lang w:val="nb-NO"/>
        </w:rPr>
      </w:pPr>
    </w:p>
    <w:p w14:paraId="6E770489" w14:textId="77777777" w:rsidR="002013B6" w:rsidRDefault="002013B6" w:rsidP="009269DC">
      <w:pPr>
        <w:tabs>
          <w:tab w:val="left" w:pos="720"/>
        </w:tabs>
        <w:rPr>
          <w:color w:val="696A6D"/>
          <w:lang w:val="nb-NO"/>
        </w:rPr>
        <w:sectPr w:rsidR="002013B6" w:rsidSect="007618AB">
          <w:type w:val="continuous"/>
          <w:pgSz w:w="11906" w:h="16838"/>
          <w:pgMar w:top="2700" w:right="851" w:bottom="1418" w:left="851" w:header="709" w:footer="709" w:gutter="0"/>
          <w:cols w:space="708"/>
          <w:docGrid w:linePitch="360"/>
        </w:sectPr>
      </w:pPr>
    </w:p>
    <w:p w14:paraId="4504C236" w14:textId="17EAA3E7" w:rsidR="009269DC" w:rsidRDefault="009269DC" w:rsidP="009269DC">
      <w:pPr>
        <w:tabs>
          <w:tab w:val="left" w:pos="720"/>
        </w:tabs>
        <w:rPr>
          <w:color w:val="696A6D"/>
          <w:lang w:val="nb-NO"/>
        </w:rPr>
      </w:pPr>
      <w:r w:rsidRPr="051B22EE">
        <w:rPr>
          <w:color w:val="696A6D"/>
          <w:lang w:val="nb-NO"/>
        </w:rPr>
        <w:t>For å kunne søke støtte fra Nemkofondet, så må søkeren være en organisasjon med et registrert</w:t>
      </w:r>
      <w:r w:rsidR="0027270A">
        <w:rPr>
          <w:color w:val="696A6D"/>
          <w:lang w:val="nb-NO"/>
        </w:rPr>
        <w:t xml:space="preserve">, norsk </w:t>
      </w:r>
      <w:r w:rsidRPr="051B22EE">
        <w:rPr>
          <w:color w:val="696A6D"/>
          <w:lang w:val="nb-NO"/>
        </w:rPr>
        <w:t>organisasjonsnummer.</w:t>
      </w:r>
    </w:p>
    <w:p w14:paraId="629B6B3B" w14:textId="1B827E3A" w:rsidR="009269DC" w:rsidRDefault="009269DC" w:rsidP="009269DC">
      <w:pPr>
        <w:spacing w:before="120" w:after="120"/>
        <w:rPr>
          <w:color w:val="696A6D"/>
          <w:lang w:val="nb-NO"/>
        </w:rPr>
      </w:pPr>
      <w:r w:rsidRPr="466E228B">
        <w:rPr>
          <w:color w:val="696A6D"/>
          <w:lang w:val="nb-NO"/>
        </w:rPr>
        <w:t xml:space="preserve">Fondet skal stimulere til utvikling og gjennomføring av prosjekter som kombinerer høy grad av innovasjon med et tydelig og dokumentert </w:t>
      </w:r>
      <w:proofErr w:type="gramStart"/>
      <w:r w:rsidRPr="466E228B">
        <w:rPr>
          <w:color w:val="696A6D"/>
          <w:lang w:val="nb-NO"/>
        </w:rPr>
        <w:t>fokus</w:t>
      </w:r>
      <w:proofErr w:type="gramEnd"/>
      <w:r w:rsidRPr="466E228B">
        <w:rPr>
          <w:color w:val="696A6D"/>
          <w:lang w:val="nb-NO"/>
        </w:rPr>
        <w:t xml:space="preserve"> på produktsikkerhet. Målet er å fremme løsninger </w:t>
      </w:r>
      <w:r w:rsidR="00FB4D48">
        <w:rPr>
          <w:color w:val="696A6D"/>
          <w:lang w:val="nb-NO"/>
        </w:rPr>
        <w:t>som</w:t>
      </w:r>
      <w:r w:rsidRPr="466E228B">
        <w:rPr>
          <w:color w:val="696A6D"/>
          <w:lang w:val="nb-NO"/>
        </w:rPr>
        <w:t xml:space="preserve"> representerer teknologiske eller metodiske nyvinninger</w:t>
      </w:r>
      <w:r w:rsidR="00FB4D48">
        <w:rPr>
          <w:color w:val="696A6D"/>
          <w:lang w:val="nb-NO"/>
        </w:rPr>
        <w:t>.</w:t>
      </w:r>
      <w:r w:rsidR="0027270A">
        <w:rPr>
          <w:color w:val="696A6D"/>
          <w:lang w:val="nb-NO"/>
        </w:rPr>
        <w:t xml:space="preserve"> Samtidig skal det</w:t>
      </w:r>
      <w:r w:rsidRPr="466E228B">
        <w:rPr>
          <w:color w:val="696A6D"/>
          <w:lang w:val="nb-NO"/>
        </w:rPr>
        <w:t xml:space="preserve"> ivareta brukernes trygghet, etterlevelse av relevante standarder og bærekraftige sikkerhetsprinsipper gjennom hele produktets livssyklus.</w:t>
      </w:r>
    </w:p>
    <w:p w14:paraId="7F6D998F" w14:textId="77777777" w:rsidR="009269DC" w:rsidRDefault="009269DC" w:rsidP="009269DC">
      <w:pPr>
        <w:spacing w:before="120" w:after="120"/>
        <w:rPr>
          <w:color w:val="696A6D"/>
          <w:lang w:val="nb-NO"/>
        </w:rPr>
      </w:pPr>
      <w:r w:rsidRPr="466E228B">
        <w:rPr>
          <w:color w:val="696A6D"/>
          <w:lang w:val="nb-NO"/>
        </w:rPr>
        <w:t>Fondet skal særlig støtte initiativer som:</w:t>
      </w:r>
    </w:p>
    <w:p w14:paraId="2AA90F11" w14:textId="1FF0792F" w:rsidR="009269DC" w:rsidRDefault="009269DC" w:rsidP="009269DC">
      <w:pPr>
        <w:pStyle w:val="ListParagraph"/>
        <w:numPr>
          <w:ilvl w:val="0"/>
          <w:numId w:val="1"/>
        </w:numPr>
        <w:spacing w:before="120" w:after="120"/>
        <w:rPr>
          <w:color w:val="696A6D"/>
          <w:lang w:val="nb-NO"/>
        </w:rPr>
      </w:pPr>
      <w:r w:rsidRPr="466E228B">
        <w:rPr>
          <w:color w:val="696A6D"/>
          <w:lang w:val="nb-NO"/>
        </w:rPr>
        <w:t xml:space="preserve">Utvikler nye produkter, tjenester eller prosesser med </w:t>
      </w:r>
      <w:r w:rsidR="00FB4D48">
        <w:rPr>
          <w:color w:val="696A6D"/>
          <w:lang w:val="nb-NO"/>
        </w:rPr>
        <w:t>betydelig</w:t>
      </w:r>
      <w:r w:rsidRPr="466E228B">
        <w:rPr>
          <w:color w:val="696A6D"/>
          <w:lang w:val="nb-NO"/>
        </w:rPr>
        <w:t xml:space="preserve"> innovasjonshøyde.</w:t>
      </w:r>
    </w:p>
    <w:p w14:paraId="32B3CC6E" w14:textId="7F2BB774" w:rsidR="009269DC" w:rsidRDefault="009269DC" w:rsidP="009269DC">
      <w:pPr>
        <w:pStyle w:val="ListParagraph"/>
        <w:numPr>
          <w:ilvl w:val="0"/>
          <w:numId w:val="1"/>
        </w:numPr>
        <w:spacing w:before="120" w:after="120"/>
        <w:rPr>
          <w:color w:val="696A6D"/>
          <w:lang w:val="nb-NO"/>
        </w:rPr>
      </w:pPr>
      <w:proofErr w:type="gramStart"/>
      <w:r w:rsidRPr="466E228B">
        <w:rPr>
          <w:color w:val="696A6D"/>
          <w:lang w:val="nb-NO"/>
        </w:rPr>
        <w:t>Integrerer</w:t>
      </w:r>
      <w:proofErr w:type="gramEnd"/>
      <w:r w:rsidRPr="466E228B">
        <w:rPr>
          <w:color w:val="696A6D"/>
          <w:lang w:val="nb-NO"/>
        </w:rPr>
        <w:t xml:space="preserve"> sikkerhetsvurderinger og risikoreduserende tiltak i </w:t>
      </w:r>
      <w:r w:rsidR="00FB4D48">
        <w:rPr>
          <w:color w:val="696A6D"/>
          <w:lang w:val="nb-NO"/>
        </w:rPr>
        <w:t>alle</w:t>
      </w:r>
      <w:r w:rsidRPr="466E228B">
        <w:rPr>
          <w:color w:val="696A6D"/>
          <w:lang w:val="nb-NO"/>
        </w:rPr>
        <w:t xml:space="preserve"> fase</w:t>
      </w:r>
      <w:r w:rsidR="00FB4D48">
        <w:rPr>
          <w:color w:val="696A6D"/>
          <w:lang w:val="nb-NO"/>
        </w:rPr>
        <w:t>r</w:t>
      </w:r>
      <w:r w:rsidRPr="466E228B">
        <w:rPr>
          <w:color w:val="696A6D"/>
          <w:lang w:val="nb-NO"/>
        </w:rPr>
        <w:t xml:space="preserve"> av utviklingsløpet.</w:t>
      </w:r>
    </w:p>
    <w:p w14:paraId="36B655DA" w14:textId="77777777" w:rsidR="009269DC" w:rsidRDefault="009269DC" w:rsidP="009269DC">
      <w:pPr>
        <w:pStyle w:val="ListParagraph"/>
        <w:numPr>
          <w:ilvl w:val="0"/>
          <w:numId w:val="1"/>
        </w:numPr>
        <w:spacing w:before="120" w:after="120"/>
        <w:rPr>
          <w:color w:val="696A6D"/>
          <w:lang w:val="nb-NO"/>
        </w:rPr>
      </w:pPr>
      <w:r w:rsidRPr="466E228B">
        <w:rPr>
          <w:color w:val="696A6D"/>
          <w:lang w:val="nb-NO"/>
        </w:rPr>
        <w:t>Bidrar til økt bevissthet og kompetanse om produktsikkerhet i innovasjonsmiljøer.</w:t>
      </w:r>
    </w:p>
    <w:p w14:paraId="704B816F" w14:textId="134D9746" w:rsidR="00E84F86" w:rsidRDefault="009269DC" w:rsidP="009269DC">
      <w:pPr>
        <w:pStyle w:val="ListParagraph"/>
        <w:numPr>
          <w:ilvl w:val="0"/>
          <w:numId w:val="1"/>
        </w:numPr>
        <w:spacing w:before="120" w:after="120"/>
        <w:rPr>
          <w:color w:val="696A6D"/>
          <w:lang w:val="nb-NO"/>
        </w:rPr>
      </w:pPr>
      <w:r w:rsidRPr="051B22EE">
        <w:rPr>
          <w:color w:val="696A6D"/>
          <w:lang w:val="nb-NO"/>
        </w:rPr>
        <w:t>Har potensial for skalering</w:t>
      </w:r>
      <w:r w:rsidR="00E84F86">
        <w:rPr>
          <w:color w:val="696A6D"/>
          <w:lang w:val="nb-NO"/>
        </w:rPr>
        <w:t>.</w:t>
      </w:r>
      <w:r w:rsidRPr="051B22EE">
        <w:rPr>
          <w:color w:val="696A6D"/>
          <w:lang w:val="nb-NO"/>
        </w:rPr>
        <w:t xml:space="preserve"> </w:t>
      </w:r>
    </w:p>
    <w:p w14:paraId="3972F69D" w14:textId="05B80E45" w:rsidR="009269DC" w:rsidRDefault="00E84F86" w:rsidP="00E84F86">
      <w:pPr>
        <w:pStyle w:val="ListParagraph"/>
        <w:numPr>
          <w:ilvl w:val="0"/>
          <w:numId w:val="1"/>
        </w:numPr>
        <w:spacing w:before="120" w:after="120"/>
        <w:rPr>
          <w:color w:val="696A6D"/>
          <w:lang w:val="nb-NO"/>
        </w:rPr>
      </w:pPr>
      <w:r>
        <w:rPr>
          <w:color w:val="696A6D"/>
          <w:lang w:val="nb-NO"/>
        </w:rPr>
        <w:t>Har høy samfunnsmessig verdi.</w:t>
      </w:r>
    </w:p>
    <w:p w14:paraId="78211AAD" w14:textId="77777777" w:rsidR="00E84F86" w:rsidRPr="00E84F86" w:rsidRDefault="00E84F86" w:rsidP="00E84F86">
      <w:pPr>
        <w:pStyle w:val="ListParagraph"/>
        <w:spacing w:before="120" w:after="120"/>
        <w:rPr>
          <w:color w:val="696A6D"/>
          <w:lang w:val="nb-NO"/>
        </w:rPr>
      </w:pPr>
    </w:p>
    <w:p w14:paraId="5162ECE5" w14:textId="77777777" w:rsidR="00FB4D48" w:rsidRPr="002013B6" w:rsidRDefault="00FB4D48" w:rsidP="00FB4D48">
      <w:pPr>
        <w:tabs>
          <w:tab w:val="left" w:pos="720"/>
        </w:tabs>
        <w:rPr>
          <w:color w:val="696A6D"/>
          <w:lang w:val="en-GB"/>
        </w:rPr>
      </w:pPr>
      <w:r w:rsidRPr="002013B6">
        <w:rPr>
          <w:color w:val="696A6D"/>
          <w:lang w:val="en-GB"/>
        </w:rPr>
        <w:t>To be eligible for support from the Nemko Fund, the applicant must be an organization with a registered Norwegian organization number.</w:t>
      </w:r>
    </w:p>
    <w:p w14:paraId="5B26FC62" w14:textId="4D6E3489" w:rsidR="00FB4D48" w:rsidRPr="002013B6" w:rsidRDefault="00FB4D48" w:rsidP="00FB4D48">
      <w:pPr>
        <w:tabs>
          <w:tab w:val="left" w:pos="720"/>
        </w:tabs>
        <w:rPr>
          <w:color w:val="696A6D"/>
          <w:lang w:val="en-GB"/>
        </w:rPr>
      </w:pPr>
      <w:r w:rsidRPr="002013B6">
        <w:rPr>
          <w:color w:val="696A6D"/>
          <w:lang w:val="en-GB"/>
        </w:rPr>
        <w:t>The fund aims to encourage the development and implementation of projects that combine a high degree of innovation with a clear and well-documented focus on product safety. The goal is to promote solutions that represent technological or methodological advancements. These solutions shall also ensure user safety, compliance with relevant standards, and use of sustainable safety principles throughout the entire product lifecycle.</w:t>
      </w:r>
    </w:p>
    <w:p w14:paraId="1B922A5B" w14:textId="77777777" w:rsidR="00E84F86" w:rsidRPr="002013B6" w:rsidRDefault="00FB4D48" w:rsidP="00E84F86">
      <w:pPr>
        <w:pStyle w:val="ListParagraph"/>
        <w:numPr>
          <w:ilvl w:val="0"/>
          <w:numId w:val="11"/>
        </w:numPr>
        <w:tabs>
          <w:tab w:val="left" w:pos="720"/>
        </w:tabs>
        <w:rPr>
          <w:color w:val="696A6D"/>
          <w:lang w:val="en-GB"/>
        </w:rPr>
      </w:pPr>
      <w:r w:rsidRPr="002013B6">
        <w:rPr>
          <w:color w:val="696A6D"/>
          <w:lang w:val="en-GB"/>
        </w:rPr>
        <w:t>The fund will particularly support initiatives that:</w:t>
      </w:r>
    </w:p>
    <w:p w14:paraId="54146B86" w14:textId="77777777" w:rsidR="00E84F86" w:rsidRPr="002013B6" w:rsidRDefault="00FB4D48" w:rsidP="00E84F86">
      <w:pPr>
        <w:pStyle w:val="ListParagraph"/>
        <w:numPr>
          <w:ilvl w:val="0"/>
          <w:numId w:val="11"/>
        </w:numPr>
        <w:tabs>
          <w:tab w:val="left" w:pos="720"/>
        </w:tabs>
        <w:rPr>
          <w:color w:val="696A6D"/>
          <w:lang w:val="en-GB"/>
        </w:rPr>
      </w:pPr>
      <w:r w:rsidRPr="002013B6">
        <w:rPr>
          <w:color w:val="696A6D"/>
          <w:lang w:val="en-GB"/>
        </w:rPr>
        <w:t>Develop new products, services, or processes with a significant level of innovation.</w:t>
      </w:r>
    </w:p>
    <w:p w14:paraId="23EC5C61" w14:textId="77777777" w:rsidR="00E84F86" w:rsidRPr="002013B6" w:rsidRDefault="00FB4D48" w:rsidP="00E84F86">
      <w:pPr>
        <w:pStyle w:val="ListParagraph"/>
        <w:numPr>
          <w:ilvl w:val="0"/>
          <w:numId w:val="11"/>
        </w:numPr>
        <w:tabs>
          <w:tab w:val="left" w:pos="720"/>
        </w:tabs>
        <w:rPr>
          <w:color w:val="696A6D"/>
          <w:lang w:val="en-GB"/>
        </w:rPr>
      </w:pPr>
      <w:r w:rsidRPr="002013B6">
        <w:rPr>
          <w:color w:val="696A6D"/>
          <w:lang w:val="en-GB"/>
        </w:rPr>
        <w:t>Integrate safety assessments and risk-reducing measures in all phases of the development process.</w:t>
      </w:r>
    </w:p>
    <w:p w14:paraId="1F8BEFD4" w14:textId="77777777" w:rsidR="00E84F86" w:rsidRPr="002013B6" w:rsidRDefault="00FB4D48" w:rsidP="00E84F86">
      <w:pPr>
        <w:pStyle w:val="ListParagraph"/>
        <w:numPr>
          <w:ilvl w:val="0"/>
          <w:numId w:val="11"/>
        </w:numPr>
        <w:tabs>
          <w:tab w:val="left" w:pos="720"/>
        </w:tabs>
        <w:rPr>
          <w:color w:val="696A6D"/>
          <w:lang w:val="en-GB"/>
        </w:rPr>
      </w:pPr>
      <w:r w:rsidRPr="002013B6">
        <w:rPr>
          <w:color w:val="696A6D"/>
          <w:lang w:val="en-GB"/>
        </w:rPr>
        <w:t>Contribute to increased awareness and competence in product safety within innovation environments.</w:t>
      </w:r>
    </w:p>
    <w:p w14:paraId="35EDCD19" w14:textId="77777777" w:rsidR="00E84F86" w:rsidRPr="002013B6" w:rsidRDefault="00FB4D48" w:rsidP="00E84F86">
      <w:pPr>
        <w:pStyle w:val="ListParagraph"/>
        <w:numPr>
          <w:ilvl w:val="0"/>
          <w:numId w:val="11"/>
        </w:numPr>
        <w:tabs>
          <w:tab w:val="left" w:pos="720"/>
        </w:tabs>
        <w:rPr>
          <w:color w:val="696A6D"/>
          <w:lang w:val="en-GB"/>
        </w:rPr>
      </w:pPr>
      <w:r w:rsidRPr="002013B6">
        <w:rPr>
          <w:color w:val="696A6D"/>
          <w:lang w:val="en-GB"/>
        </w:rPr>
        <w:t>Have potential for scaling</w:t>
      </w:r>
      <w:r w:rsidR="00E84F86" w:rsidRPr="002013B6">
        <w:rPr>
          <w:color w:val="696A6D"/>
          <w:lang w:val="en-GB"/>
        </w:rPr>
        <w:t>.</w:t>
      </w:r>
    </w:p>
    <w:p w14:paraId="272B1944" w14:textId="7EE1FFEF" w:rsidR="00E84F86" w:rsidRPr="002013B6" w:rsidRDefault="00E84F86" w:rsidP="00E84F86">
      <w:pPr>
        <w:pStyle w:val="ListParagraph"/>
        <w:numPr>
          <w:ilvl w:val="0"/>
          <w:numId w:val="11"/>
        </w:numPr>
        <w:tabs>
          <w:tab w:val="left" w:pos="720"/>
        </w:tabs>
        <w:rPr>
          <w:color w:val="696A6D"/>
          <w:lang w:val="en-GB"/>
        </w:rPr>
      </w:pPr>
      <w:r w:rsidRPr="002013B6">
        <w:rPr>
          <w:color w:val="696A6D"/>
          <w:lang w:val="en-GB"/>
        </w:rPr>
        <w:t>Have broad societal benefit.</w:t>
      </w:r>
    </w:p>
    <w:p w14:paraId="66F5E365" w14:textId="77777777" w:rsidR="002013B6" w:rsidRDefault="002013B6" w:rsidP="00FB4D48">
      <w:pPr>
        <w:tabs>
          <w:tab w:val="left" w:pos="720"/>
        </w:tabs>
        <w:rPr>
          <w:lang w:val="en-GB"/>
        </w:rPr>
        <w:sectPr w:rsidR="002013B6" w:rsidSect="002013B6">
          <w:type w:val="continuous"/>
          <w:pgSz w:w="11906" w:h="16838"/>
          <w:pgMar w:top="2700" w:right="851" w:bottom="1418" w:left="851" w:header="709" w:footer="709" w:gutter="0"/>
          <w:cols w:num="2" w:space="720"/>
          <w:docGrid w:linePitch="360"/>
        </w:sectPr>
      </w:pPr>
    </w:p>
    <w:p w14:paraId="7872CCEA" w14:textId="77777777" w:rsidR="00FB4D48" w:rsidRPr="00E84F86" w:rsidRDefault="00FB4D48" w:rsidP="00FB4D48">
      <w:pPr>
        <w:tabs>
          <w:tab w:val="left" w:pos="720"/>
        </w:tabs>
        <w:rPr>
          <w:lang w:val="en-GB"/>
        </w:rPr>
      </w:pPr>
    </w:p>
    <w:p w14:paraId="0A6BC0FA" w14:textId="77777777" w:rsidR="009269DC" w:rsidRPr="00E84F86" w:rsidRDefault="009269DC" w:rsidP="009269DC">
      <w:pPr>
        <w:rPr>
          <w:lang w:val="en-GB"/>
        </w:rPr>
      </w:pPr>
      <w:r w:rsidRPr="00E84F86">
        <w:rPr>
          <w:lang w:val="en-GB"/>
        </w:rPr>
        <w:br w:type="page"/>
      </w:r>
    </w:p>
    <w:p w14:paraId="62D6E56D" w14:textId="68626750" w:rsidR="009269DC" w:rsidRPr="00842697" w:rsidRDefault="009269DC" w:rsidP="009269DC">
      <w:pPr>
        <w:pStyle w:val="Heading1"/>
        <w:rPr>
          <w:lang w:val="en-GB"/>
        </w:rPr>
      </w:pPr>
      <w:bookmarkStart w:id="5" w:name="_Toc212534916"/>
      <w:r w:rsidRPr="00842697">
        <w:rPr>
          <w:lang w:val="en-GB"/>
        </w:rPr>
        <w:lastRenderedPageBreak/>
        <w:t>Utlysning og Søknader</w:t>
      </w:r>
      <w:r w:rsidR="00842697" w:rsidRPr="00842697">
        <w:rPr>
          <w:lang w:val="en-GB"/>
        </w:rPr>
        <w:t xml:space="preserve"> | </w:t>
      </w:r>
      <w:r w:rsidR="002013B6">
        <w:rPr>
          <w:lang w:val="en-GB"/>
        </w:rPr>
        <w:t>A</w:t>
      </w:r>
      <w:r w:rsidR="00842697" w:rsidRPr="00842697">
        <w:rPr>
          <w:lang w:val="en-GB"/>
        </w:rPr>
        <w:t xml:space="preserve">nnouncement and </w:t>
      </w:r>
      <w:r w:rsidR="00751749">
        <w:rPr>
          <w:lang w:val="en-GB"/>
        </w:rPr>
        <w:t>a</w:t>
      </w:r>
      <w:r w:rsidR="00842697" w:rsidRPr="00842697">
        <w:rPr>
          <w:lang w:val="en-GB"/>
        </w:rPr>
        <w:t>pplication</w:t>
      </w:r>
      <w:r w:rsidR="00842697">
        <w:rPr>
          <w:lang w:val="en-GB"/>
        </w:rPr>
        <w:t>s</w:t>
      </w:r>
      <w:bookmarkEnd w:id="5"/>
    </w:p>
    <w:p w14:paraId="692C5FAF" w14:textId="77777777" w:rsidR="009269DC" w:rsidRPr="00842697" w:rsidRDefault="009269DC" w:rsidP="009269DC">
      <w:pPr>
        <w:spacing w:before="120" w:after="120"/>
        <w:rPr>
          <w:rFonts w:ascii="Aptos" w:eastAsia="Aptos" w:hAnsi="Aptos" w:cs="Aptos"/>
          <w:color w:val="696A6D"/>
          <w:lang w:val="en-GB"/>
        </w:rPr>
      </w:pPr>
    </w:p>
    <w:p w14:paraId="7C253893" w14:textId="77777777" w:rsidR="004E4E0F" w:rsidRPr="00751749" w:rsidRDefault="004E4E0F" w:rsidP="009269DC">
      <w:pPr>
        <w:spacing w:before="120" w:after="120"/>
        <w:rPr>
          <w:rFonts w:ascii="Aptos" w:eastAsia="Aptos" w:hAnsi="Aptos" w:cs="Aptos"/>
          <w:color w:val="696A6D"/>
          <w:lang w:val="en-GB"/>
        </w:rPr>
        <w:sectPr w:rsidR="004E4E0F" w:rsidRPr="00751749" w:rsidSect="007618AB">
          <w:type w:val="continuous"/>
          <w:pgSz w:w="11906" w:h="16838"/>
          <w:pgMar w:top="2700" w:right="851" w:bottom="1418" w:left="851" w:header="709" w:footer="709" w:gutter="0"/>
          <w:cols w:space="708"/>
          <w:docGrid w:linePitch="360"/>
        </w:sectPr>
      </w:pPr>
    </w:p>
    <w:p w14:paraId="665FBBA7"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Utlysning av midler ligger tilgjengelig digitalt gjennom hele året.</w:t>
      </w:r>
    </w:p>
    <w:p w14:paraId="52D6B8C6" w14:textId="2B95EA32" w:rsidR="00E84F86"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Søknad</w:t>
      </w:r>
      <w:r w:rsidR="00E84F86">
        <w:rPr>
          <w:rFonts w:ascii="Aptos" w:eastAsia="Aptos" w:hAnsi="Aptos" w:cs="Aptos"/>
          <w:color w:val="696A6D"/>
          <w:lang w:val="nb-NO"/>
        </w:rPr>
        <w:t>er</w:t>
      </w:r>
      <w:r w:rsidRPr="466E228B">
        <w:rPr>
          <w:rFonts w:ascii="Aptos" w:eastAsia="Aptos" w:hAnsi="Aptos" w:cs="Aptos"/>
          <w:color w:val="696A6D"/>
          <w:lang w:val="nb-NO"/>
        </w:rPr>
        <w:t xml:space="preserve"> sendes </w:t>
      </w:r>
      <w:r w:rsidR="00E84F86">
        <w:rPr>
          <w:rFonts w:ascii="Aptos" w:eastAsia="Aptos" w:hAnsi="Aptos" w:cs="Aptos"/>
          <w:color w:val="696A6D"/>
          <w:lang w:val="nb-NO"/>
        </w:rPr>
        <w:t>via</w:t>
      </w:r>
      <w:r w:rsidRPr="466E228B">
        <w:rPr>
          <w:rFonts w:ascii="Aptos" w:eastAsia="Aptos" w:hAnsi="Aptos" w:cs="Aptos"/>
          <w:color w:val="696A6D"/>
          <w:lang w:val="nb-NO"/>
        </w:rPr>
        <w:t xml:space="preserve"> standardisert søknadsskjema </w:t>
      </w:r>
      <w:r w:rsidR="00E84F86">
        <w:rPr>
          <w:rFonts w:ascii="Aptos" w:eastAsia="Aptos" w:hAnsi="Aptos" w:cs="Aptos"/>
          <w:color w:val="696A6D"/>
          <w:lang w:val="nb-NO"/>
        </w:rPr>
        <w:t xml:space="preserve">på </w:t>
      </w:r>
      <w:hyperlink r:id="rId15" w:history="1">
        <w:r w:rsidR="00E84F86" w:rsidRPr="00166B29">
          <w:rPr>
            <w:rStyle w:val="Hyperlink"/>
            <w:rFonts w:ascii="Aptos" w:eastAsia="Aptos" w:hAnsi="Aptos" w:cs="Aptos"/>
            <w:lang w:val="nb-NO"/>
          </w:rPr>
          <w:t>https://www.nemko.com/nemkofondet</w:t>
        </w:r>
      </w:hyperlink>
      <w:r w:rsidR="00E84F86">
        <w:rPr>
          <w:rFonts w:ascii="Aptos" w:eastAsia="Aptos" w:hAnsi="Aptos" w:cs="Aptos"/>
          <w:color w:val="696A6D"/>
          <w:lang w:val="nb-NO"/>
        </w:rPr>
        <w:t>.</w:t>
      </w:r>
    </w:p>
    <w:p w14:paraId="01AED1E9" w14:textId="2B78DC9A" w:rsidR="009269DC" w:rsidRDefault="00E84F86" w:rsidP="009269DC">
      <w:pPr>
        <w:spacing w:before="120" w:after="120"/>
        <w:rPr>
          <w:rFonts w:ascii="Aptos" w:eastAsia="Aptos" w:hAnsi="Aptos" w:cs="Aptos"/>
          <w:color w:val="696A6D"/>
          <w:lang w:val="nb-NO"/>
        </w:rPr>
      </w:pPr>
      <w:r>
        <w:rPr>
          <w:rFonts w:ascii="Aptos" w:eastAsia="Aptos" w:hAnsi="Aptos" w:cs="Aptos"/>
          <w:color w:val="696A6D"/>
          <w:lang w:val="nb-NO"/>
        </w:rPr>
        <w:t>Søknader rutes videre</w:t>
      </w:r>
      <w:r w:rsidR="009269DC" w:rsidRPr="466E228B">
        <w:rPr>
          <w:rFonts w:ascii="Aptos" w:eastAsia="Aptos" w:hAnsi="Aptos" w:cs="Aptos"/>
          <w:color w:val="696A6D"/>
          <w:lang w:val="nb-NO"/>
        </w:rPr>
        <w:t xml:space="preserve"> til </w:t>
      </w:r>
      <w:proofErr w:type="spellStart"/>
      <w:r w:rsidR="00FE452D">
        <w:rPr>
          <w:rFonts w:ascii="Aptos" w:eastAsia="Aptos" w:hAnsi="Aptos" w:cs="Aptos"/>
          <w:color w:val="696A6D"/>
          <w:lang w:val="nb-NO"/>
        </w:rPr>
        <w:t>Nemkofondets</w:t>
      </w:r>
      <w:proofErr w:type="spellEnd"/>
      <w:r w:rsidR="00FE452D">
        <w:rPr>
          <w:rFonts w:ascii="Aptos" w:eastAsia="Aptos" w:hAnsi="Aptos" w:cs="Aptos"/>
          <w:color w:val="696A6D"/>
          <w:lang w:val="nb-NO"/>
        </w:rPr>
        <w:t xml:space="preserve"> T</w:t>
      </w:r>
      <w:r w:rsidR="009269DC" w:rsidRPr="466E228B">
        <w:rPr>
          <w:rFonts w:ascii="Aptos" w:eastAsia="Aptos" w:hAnsi="Aptos" w:cs="Aptos"/>
          <w:color w:val="696A6D"/>
          <w:lang w:val="nb-NO"/>
        </w:rPr>
        <w:t>ildelingsgruppe.</w:t>
      </w:r>
    </w:p>
    <w:p w14:paraId="2AB77BC3"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Søknader må inneholde tydelig beskrivelse av prosjekt, mål, fremdriftsplan, budsjett, og forventede resultater.</w:t>
      </w:r>
    </w:p>
    <w:p w14:paraId="5C13B072" w14:textId="6D61047A"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 xml:space="preserve">Søknadsfristen er 1. </w:t>
      </w:r>
      <w:r w:rsidR="00E84F86">
        <w:rPr>
          <w:rFonts w:ascii="Aptos" w:eastAsia="Aptos" w:hAnsi="Aptos" w:cs="Aptos"/>
          <w:color w:val="696A6D"/>
          <w:lang w:val="nb-NO"/>
        </w:rPr>
        <w:t>m</w:t>
      </w:r>
      <w:r w:rsidRPr="466E228B">
        <w:rPr>
          <w:rFonts w:ascii="Aptos" w:eastAsia="Aptos" w:hAnsi="Aptos" w:cs="Aptos"/>
          <w:color w:val="696A6D"/>
          <w:lang w:val="nb-NO"/>
        </w:rPr>
        <w:t xml:space="preserve">ars og 1. </w:t>
      </w:r>
      <w:r w:rsidR="00E84F86">
        <w:rPr>
          <w:rFonts w:ascii="Aptos" w:eastAsia="Aptos" w:hAnsi="Aptos" w:cs="Aptos"/>
          <w:color w:val="696A6D"/>
          <w:lang w:val="nb-NO"/>
        </w:rPr>
        <w:t>o</w:t>
      </w:r>
      <w:r w:rsidRPr="466E228B">
        <w:rPr>
          <w:rFonts w:ascii="Aptos" w:eastAsia="Aptos" w:hAnsi="Aptos" w:cs="Aptos"/>
          <w:color w:val="696A6D"/>
          <w:lang w:val="nb-NO"/>
        </w:rPr>
        <w:t xml:space="preserve">ktober hvert år, og tildeling skjer formelt i stiftelsens påfølgende styremøte, på grunnlag av </w:t>
      </w:r>
      <w:r w:rsidR="00FE452D">
        <w:rPr>
          <w:rFonts w:ascii="Aptos" w:eastAsia="Aptos" w:hAnsi="Aptos" w:cs="Aptos"/>
          <w:color w:val="696A6D"/>
          <w:lang w:val="nb-NO"/>
        </w:rPr>
        <w:t>T</w:t>
      </w:r>
      <w:r w:rsidRPr="466E228B">
        <w:rPr>
          <w:rFonts w:ascii="Aptos" w:eastAsia="Aptos" w:hAnsi="Aptos" w:cs="Aptos"/>
          <w:color w:val="696A6D"/>
          <w:lang w:val="nb-NO"/>
        </w:rPr>
        <w:t>ildelingsgruppens tilråding.</w:t>
      </w:r>
    </w:p>
    <w:p w14:paraId="7A64F6A1"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 xml:space="preserve">Søknader som innvilges, får informasjon om dette umiddelbart etter beslutning i styremøtet. Informasjon om innvilgning er offentlig. </w:t>
      </w:r>
    </w:p>
    <w:p w14:paraId="0E5669F0"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For søknader som avslås gis en kort begrunnelse til søker.  Vedtaket er endelig.</w:t>
      </w:r>
    </w:p>
    <w:p w14:paraId="242AE1F3"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Søknader og informasjon kan gis og utveksles på både norsk og engelsk.</w:t>
      </w:r>
    </w:p>
    <w:p w14:paraId="1C2ADEE0" w14:textId="77777777" w:rsidR="009269DC" w:rsidRDefault="009269DC" w:rsidP="009269DC">
      <w:pPr>
        <w:rPr>
          <w:lang w:val="nb-NO"/>
        </w:rPr>
      </w:pPr>
    </w:p>
    <w:p w14:paraId="1A889763" w14:textId="77777777" w:rsid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The announcement of available funds is accessible digitally throughout the year.</w:t>
      </w:r>
    </w:p>
    <w:p w14:paraId="553042D4" w14:textId="328DF977" w:rsidR="004E4E0F" w:rsidRDefault="00FE452D" w:rsidP="002013B6">
      <w:pPr>
        <w:spacing w:before="120" w:after="120"/>
      </w:pPr>
      <w:r w:rsidRPr="004E4E0F">
        <w:rPr>
          <w:rFonts w:ascii="Aptos" w:eastAsia="Aptos" w:hAnsi="Aptos" w:cs="Aptos"/>
          <w:color w:val="696A6D"/>
          <w:lang w:val="en-GB"/>
        </w:rPr>
        <w:t>Applications are submitted via the standardized application form at</w:t>
      </w:r>
      <w:r w:rsidR="004E4E0F">
        <w:rPr>
          <w:rFonts w:ascii="Aptos" w:eastAsia="Aptos" w:hAnsi="Aptos" w:cs="Aptos"/>
          <w:color w:val="696A6D"/>
          <w:lang w:val="en-GB"/>
        </w:rPr>
        <w:t xml:space="preserve"> </w:t>
      </w:r>
      <w:hyperlink r:id="rId16" w:history="1">
        <w:r w:rsidR="004E4E0F" w:rsidRPr="003777A7">
          <w:rPr>
            <w:rStyle w:val="Hyperlink"/>
          </w:rPr>
          <w:t>https://www.nemko.com/nemkofondet</w:t>
        </w:r>
      </w:hyperlink>
      <w:r w:rsidRPr="00FE452D">
        <w:t>.</w:t>
      </w:r>
    </w:p>
    <w:p w14:paraId="30D907F4" w14:textId="77777777" w:rsid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Applications are forwarded to the Nemkofondet Allocation Committee.</w:t>
      </w:r>
    </w:p>
    <w:p w14:paraId="0C471D05" w14:textId="77777777" w:rsid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Applications must include a clear description of the project, objectives, progress plan, budget, and expected results.</w:t>
      </w:r>
    </w:p>
    <w:p w14:paraId="5A274F99" w14:textId="77777777" w:rsid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The application deadlines are March 1 and October 1 each year, and allocations are formally decided at the foundation’s subsequent board meeting, based on the recommendation of the Allocation Committee.</w:t>
      </w:r>
    </w:p>
    <w:p w14:paraId="2F725AD9" w14:textId="77777777" w:rsidR="004E4E0F" w:rsidRP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Applicants who are granted funding will be informed immediately after the board’s decision. Information about approved grants is public.</w:t>
      </w:r>
    </w:p>
    <w:p w14:paraId="03E97ABB" w14:textId="77777777" w:rsidR="004E4E0F" w:rsidRP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Applicants whose applications are rejected will receive a brief justification. The decision is final.</w:t>
      </w:r>
    </w:p>
    <w:p w14:paraId="410CD45B" w14:textId="07E1FE67" w:rsidR="00FE452D" w:rsidRPr="004E4E0F" w:rsidRDefault="00FE452D" w:rsidP="002013B6">
      <w:pPr>
        <w:spacing w:before="120" w:after="120"/>
        <w:rPr>
          <w:rFonts w:ascii="Aptos" w:eastAsia="Aptos" w:hAnsi="Aptos" w:cs="Aptos"/>
          <w:color w:val="696A6D"/>
          <w:lang w:val="en-GB"/>
        </w:rPr>
      </w:pPr>
      <w:r w:rsidRPr="004E4E0F">
        <w:rPr>
          <w:rFonts w:ascii="Aptos" w:eastAsia="Aptos" w:hAnsi="Aptos" w:cs="Aptos"/>
          <w:color w:val="696A6D"/>
          <w:lang w:val="en-GB"/>
        </w:rPr>
        <w:t>Applications and information may be provided and exchanged in either Norwegian or English.</w:t>
      </w:r>
    </w:p>
    <w:p w14:paraId="3AF85C89" w14:textId="77777777" w:rsidR="002013B6" w:rsidRDefault="002013B6" w:rsidP="009269DC">
      <w:pPr>
        <w:rPr>
          <w:lang w:val="en-GB"/>
        </w:rPr>
        <w:sectPr w:rsidR="002013B6" w:rsidSect="002013B6">
          <w:type w:val="continuous"/>
          <w:pgSz w:w="11906" w:h="16838"/>
          <w:pgMar w:top="2700" w:right="851" w:bottom="1418" w:left="851" w:header="709" w:footer="709" w:gutter="0"/>
          <w:cols w:num="2" w:space="708"/>
          <w:docGrid w:linePitch="360"/>
        </w:sectPr>
      </w:pPr>
    </w:p>
    <w:p w14:paraId="3D7B71CA" w14:textId="77777777" w:rsidR="00FE452D" w:rsidRPr="00FE452D" w:rsidRDefault="00FE452D" w:rsidP="009269DC">
      <w:pPr>
        <w:rPr>
          <w:lang w:val="en-GB"/>
        </w:rPr>
      </w:pPr>
    </w:p>
    <w:p w14:paraId="33B508AC" w14:textId="77777777" w:rsidR="009269DC" w:rsidRPr="00FE452D" w:rsidRDefault="009269DC" w:rsidP="009269DC">
      <w:pPr>
        <w:rPr>
          <w:lang w:val="en-GB"/>
        </w:rPr>
      </w:pPr>
    </w:p>
    <w:p w14:paraId="431A8B65" w14:textId="77777777" w:rsidR="009269DC" w:rsidRPr="00FE452D" w:rsidRDefault="009269DC" w:rsidP="009269DC">
      <w:pPr>
        <w:rPr>
          <w:caps/>
          <w:color w:val="FFFFFF" w:themeColor="background1"/>
          <w:spacing w:val="15"/>
          <w:sz w:val="22"/>
          <w:szCs w:val="22"/>
          <w:lang w:val="en-GB"/>
        </w:rPr>
      </w:pPr>
      <w:r w:rsidRPr="00FE452D">
        <w:rPr>
          <w:lang w:val="en-GB"/>
        </w:rPr>
        <w:br w:type="page"/>
      </w:r>
    </w:p>
    <w:p w14:paraId="6C628485" w14:textId="5E1E6EEF" w:rsidR="009269DC" w:rsidRDefault="009269DC" w:rsidP="009269DC">
      <w:pPr>
        <w:pStyle w:val="Heading1"/>
        <w:rPr>
          <w:lang w:val="nb-NO"/>
        </w:rPr>
      </w:pPr>
      <w:bookmarkStart w:id="6" w:name="_Toc212534917"/>
      <w:r w:rsidRPr="466E228B">
        <w:rPr>
          <w:lang w:val="nb-NO"/>
        </w:rPr>
        <w:lastRenderedPageBreak/>
        <w:t>Tildelingskapital</w:t>
      </w:r>
      <w:r w:rsidR="00452CCA">
        <w:rPr>
          <w:lang w:val="nb-NO"/>
        </w:rPr>
        <w:t xml:space="preserve"> | </w:t>
      </w:r>
      <w:r w:rsidR="004E4E0F">
        <w:rPr>
          <w:lang w:val="nb-NO"/>
        </w:rPr>
        <w:t>A</w:t>
      </w:r>
      <w:r w:rsidR="00452CCA">
        <w:rPr>
          <w:lang w:val="nb-NO"/>
        </w:rPr>
        <w:t>llocation capital</w:t>
      </w:r>
      <w:bookmarkEnd w:id="6"/>
    </w:p>
    <w:p w14:paraId="1A82D290" w14:textId="77777777" w:rsidR="009269DC" w:rsidRDefault="009269DC" w:rsidP="009269DC">
      <w:pPr>
        <w:rPr>
          <w:lang w:val="nb-NO"/>
        </w:rPr>
      </w:pPr>
    </w:p>
    <w:p w14:paraId="3D9C9564" w14:textId="77777777" w:rsidR="004E4E0F" w:rsidRDefault="004E4E0F" w:rsidP="009269DC">
      <w:pPr>
        <w:rPr>
          <w:color w:val="696A6D"/>
          <w:lang w:val="nb-NO"/>
        </w:rPr>
        <w:sectPr w:rsidR="004E4E0F" w:rsidSect="007618AB">
          <w:type w:val="continuous"/>
          <w:pgSz w:w="11906" w:h="16838"/>
          <w:pgMar w:top="2700" w:right="851" w:bottom="1418" w:left="851" w:header="709" w:footer="709" w:gutter="0"/>
          <w:cols w:space="708"/>
          <w:docGrid w:linePitch="360"/>
        </w:sectPr>
      </w:pPr>
    </w:p>
    <w:p w14:paraId="27D495B0" w14:textId="4034736C" w:rsidR="009269DC" w:rsidRPr="004E4E0F" w:rsidRDefault="009269DC" w:rsidP="009269DC">
      <w:pPr>
        <w:rPr>
          <w:color w:val="696A6D"/>
          <w:lang w:val="nb-NO"/>
        </w:rPr>
      </w:pPr>
      <w:r w:rsidRPr="004E4E0F">
        <w:rPr>
          <w:color w:val="696A6D"/>
          <w:lang w:val="nb-NO"/>
        </w:rPr>
        <w:t xml:space="preserve">For </w:t>
      </w:r>
      <w:r w:rsidR="00FE452D" w:rsidRPr="004E4E0F">
        <w:rPr>
          <w:color w:val="696A6D"/>
          <w:lang w:val="nb-NO"/>
        </w:rPr>
        <w:t>2026</w:t>
      </w:r>
      <w:r w:rsidRPr="004E4E0F">
        <w:rPr>
          <w:color w:val="696A6D"/>
          <w:lang w:val="nb-NO"/>
        </w:rPr>
        <w:t xml:space="preserve"> vil rammen for tildeling være 1</w:t>
      </w:r>
      <w:r w:rsidR="00CE0BFC" w:rsidRPr="004E4E0F">
        <w:rPr>
          <w:color w:val="696A6D"/>
          <w:lang w:val="nb-NO"/>
        </w:rPr>
        <w:t xml:space="preserve"> </w:t>
      </w:r>
      <w:r w:rsidRPr="004E4E0F">
        <w:rPr>
          <w:color w:val="696A6D"/>
          <w:lang w:val="nb-NO"/>
        </w:rPr>
        <w:t>500</w:t>
      </w:r>
      <w:r w:rsidR="00CE0BFC" w:rsidRPr="004E4E0F">
        <w:rPr>
          <w:color w:val="696A6D"/>
          <w:lang w:val="nb-NO"/>
        </w:rPr>
        <w:t xml:space="preserve"> </w:t>
      </w:r>
      <w:r w:rsidRPr="004E4E0F">
        <w:rPr>
          <w:color w:val="696A6D"/>
          <w:lang w:val="nb-NO"/>
        </w:rPr>
        <w:t>000</w:t>
      </w:r>
      <w:r w:rsidR="00CE0BFC" w:rsidRPr="004E4E0F">
        <w:rPr>
          <w:color w:val="696A6D"/>
          <w:lang w:val="nb-NO"/>
        </w:rPr>
        <w:t xml:space="preserve"> kr. </w:t>
      </w:r>
    </w:p>
    <w:p w14:paraId="217F3D55" w14:textId="33EADEEB" w:rsidR="009269DC" w:rsidRPr="004E4E0F" w:rsidRDefault="009269DC" w:rsidP="009269DC">
      <w:pPr>
        <w:spacing w:before="120" w:after="120"/>
        <w:rPr>
          <w:rFonts w:ascii="Aptos" w:eastAsia="Aptos" w:hAnsi="Aptos" w:cs="Aptos"/>
          <w:color w:val="696A6D"/>
          <w:lang w:val="nb-NO"/>
        </w:rPr>
      </w:pPr>
      <w:r w:rsidRPr="004E4E0F">
        <w:rPr>
          <w:rFonts w:ascii="Aptos" w:eastAsia="Aptos" w:hAnsi="Aptos" w:cs="Aptos"/>
          <w:color w:val="696A6D"/>
          <w:lang w:val="nb-NO"/>
        </w:rPr>
        <w:t>Tildelinger p</w:t>
      </w:r>
      <w:r w:rsidR="00FE452D" w:rsidRPr="004E4E0F">
        <w:rPr>
          <w:rFonts w:ascii="Aptos" w:eastAsia="Aptos" w:hAnsi="Aptos" w:cs="Aptos"/>
          <w:color w:val="696A6D"/>
          <w:lang w:val="nb-NO"/>
        </w:rPr>
        <w:t>er</w:t>
      </w:r>
      <w:r w:rsidRPr="004E4E0F">
        <w:rPr>
          <w:rFonts w:ascii="Aptos" w:eastAsia="Aptos" w:hAnsi="Aptos" w:cs="Aptos"/>
          <w:color w:val="696A6D"/>
          <w:lang w:val="nb-NO"/>
        </w:rPr>
        <w:t xml:space="preserve"> prosjekt skal ikke overskride disponibel avkastning fra Stiftelsens</w:t>
      </w:r>
      <w:r w:rsidR="00CD00F0" w:rsidRPr="004E4E0F">
        <w:rPr>
          <w:rFonts w:ascii="Aptos" w:eastAsia="Aptos" w:hAnsi="Aptos" w:cs="Aptos"/>
          <w:color w:val="696A6D"/>
          <w:lang w:val="nb-NO"/>
        </w:rPr>
        <w:t xml:space="preserve"> sin</w:t>
      </w:r>
      <w:r w:rsidRPr="004E4E0F">
        <w:rPr>
          <w:rFonts w:ascii="Aptos" w:eastAsia="Aptos" w:hAnsi="Aptos" w:cs="Aptos"/>
          <w:color w:val="696A6D"/>
          <w:lang w:val="nb-NO"/>
        </w:rPr>
        <w:t xml:space="preserve"> egenkapital/utbytte, og denne summen kan variere fra år til år.</w:t>
      </w:r>
    </w:p>
    <w:p w14:paraId="2960A8CB" w14:textId="77777777" w:rsidR="009269DC" w:rsidRPr="004E4E0F" w:rsidRDefault="009269DC" w:rsidP="009269DC">
      <w:pPr>
        <w:spacing w:before="120" w:after="120"/>
        <w:rPr>
          <w:rFonts w:ascii="Aptos" w:eastAsia="Aptos" w:hAnsi="Aptos" w:cs="Aptos"/>
          <w:color w:val="696A6D"/>
          <w:lang w:val="nb-NO"/>
        </w:rPr>
      </w:pPr>
      <w:r w:rsidRPr="004E4E0F">
        <w:rPr>
          <w:rFonts w:ascii="Aptos" w:eastAsia="Aptos" w:hAnsi="Aptos" w:cs="Aptos"/>
          <w:color w:val="696A6D"/>
          <w:lang w:val="nb-NO"/>
        </w:rPr>
        <w:t xml:space="preserve">Tildelingskapitalen kan fordeles over flere prosjekter og søknader. </w:t>
      </w:r>
    </w:p>
    <w:p w14:paraId="4700A9DC" w14:textId="0689D386" w:rsidR="00437C67" w:rsidRDefault="009269DC" w:rsidP="00437C67">
      <w:pPr>
        <w:spacing w:before="120" w:after="120"/>
        <w:rPr>
          <w:rFonts w:ascii="Aptos" w:eastAsia="Aptos" w:hAnsi="Aptos" w:cs="Aptos"/>
          <w:color w:val="696A6D"/>
          <w:lang w:val="nb-NO"/>
        </w:rPr>
      </w:pPr>
      <w:r w:rsidRPr="00437C67">
        <w:rPr>
          <w:rFonts w:ascii="Aptos" w:eastAsia="Aptos" w:hAnsi="Aptos" w:cs="Aptos"/>
          <w:color w:val="696A6D"/>
          <w:lang w:val="nb-NO"/>
        </w:rPr>
        <w:t xml:space="preserve">Tildelinger gis </w:t>
      </w:r>
      <w:proofErr w:type="spellStart"/>
      <w:r w:rsidRPr="00437C67">
        <w:rPr>
          <w:rFonts w:ascii="Aptos" w:eastAsia="Aptos" w:hAnsi="Aptos" w:cs="Aptos"/>
          <w:color w:val="696A6D"/>
          <w:lang w:val="nb-NO"/>
        </w:rPr>
        <w:t>ihht</w:t>
      </w:r>
      <w:proofErr w:type="spellEnd"/>
      <w:r w:rsidRPr="00437C67">
        <w:rPr>
          <w:rFonts w:ascii="Aptos" w:eastAsia="Aptos" w:hAnsi="Aptos" w:cs="Aptos"/>
          <w:color w:val="696A6D"/>
          <w:lang w:val="nb-NO"/>
        </w:rPr>
        <w:t>. en definisjon av hvor prosjektet eller produktutviklingen befinner seg når det søkes</w:t>
      </w:r>
      <w:r w:rsidR="00CE30F4">
        <w:rPr>
          <w:rFonts w:ascii="Aptos" w:eastAsia="Aptos" w:hAnsi="Aptos" w:cs="Aptos"/>
          <w:color w:val="696A6D"/>
          <w:lang w:val="nb-NO"/>
        </w:rPr>
        <w:t>.</w:t>
      </w:r>
    </w:p>
    <w:p w14:paraId="1C375C6D" w14:textId="77777777" w:rsidR="00437C67" w:rsidRDefault="009269DC" w:rsidP="00437C67">
      <w:pPr>
        <w:pStyle w:val="ListParagraph"/>
        <w:numPr>
          <w:ilvl w:val="0"/>
          <w:numId w:val="16"/>
        </w:numPr>
        <w:spacing w:before="120" w:after="120"/>
        <w:rPr>
          <w:color w:val="696A6D"/>
          <w:lang w:val="nb-NO"/>
        </w:rPr>
      </w:pPr>
      <w:r w:rsidRPr="00437C67">
        <w:rPr>
          <w:rFonts w:ascii="Aptos" w:eastAsia="Aptos" w:hAnsi="Aptos" w:cs="Aptos"/>
          <w:color w:val="696A6D"/>
          <w:lang w:val="nb-NO"/>
        </w:rPr>
        <w:t xml:space="preserve">Søker definerer en konkret milepæl de ikke kommer forbi. </w:t>
      </w:r>
    </w:p>
    <w:p w14:paraId="304F18AA" w14:textId="62EC3EF0" w:rsidR="004E4E0F" w:rsidRDefault="009269DC" w:rsidP="00437C67">
      <w:pPr>
        <w:pStyle w:val="ListParagraph"/>
        <w:numPr>
          <w:ilvl w:val="0"/>
          <w:numId w:val="16"/>
        </w:numPr>
        <w:spacing w:before="120" w:after="120"/>
        <w:rPr>
          <w:color w:val="696A6D"/>
          <w:lang w:val="nb-NO"/>
        </w:rPr>
      </w:pPr>
      <w:r w:rsidRPr="00437C67">
        <w:rPr>
          <w:rFonts w:ascii="Aptos" w:eastAsia="Aptos" w:hAnsi="Aptos" w:cs="Aptos"/>
          <w:color w:val="696A6D"/>
          <w:lang w:val="nb-NO"/>
        </w:rPr>
        <w:t>Tildelingsgruppen vurderer hvor i utviklingsløpet milepælen befinner seg</w:t>
      </w:r>
      <w:r w:rsidR="00CD00F0" w:rsidRPr="00437C67">
        <w:rPr>
          <w:rFonts w:ascii="Aptos" w:eastAsia="Aptos" w:hAnsi="Aptos" w:cs="Aptos"/>
          <w:color w:val="696A6D"/>
          <w:lang w:val="nb-NO"/>
        </w:rPr>
        <w:t xml:space="preserve"> </w:t>
      </w:r>
      <w:proofErr w:type="spellStart"/>
      <w:r w:rsidR="00CD00F0" w:rsidRPr="00437C67">
        <w:rPr>
          <w:rFonts w:ascii="Aptos" w:eastAsia="Aptos" w:hAnsi="Aptos" w:cs="Aptos"/>
          <w:color w:val="696A6D"/>
          <w:lang w:val="nb-NO"/>
        </w:rPr>
        <w:t>ihht</w:t>
      </w:r>
      <w:proofErr w:type="spellEnd"/>
      <w:r w:rsidR="00CD00F0" w:rsidRPr="00437C67">
        <w:rPr>
          <w:rFonts w:ascii="Aptos" w:eastAsia="Aptos" w:hAnsi="Aptos" w:cs="Aptos"/>
          <w:color w:val="696A6D"/>
          <w:lang w:val="nb-NO"/>
        </w:rPr>
        <w:t>. flg. nivåer:</w:t>
      </w:r>
      <w:r w:rsidR="00CD00F0" w:rsidRPr="00437C67">
        <w:rPr>
          <w:rFonts w:ascii="Aptos" w:eastAsia="Aptos" w:hAnsi="Aptos" w:cs="Aptos"/>
          <w:color w:val="696A6D"/>
          <w:lang w:val="nb-NO"/>
        </w:rPr>
        <w:br/>
      </w:r>
    </w:p>
    <w:p w14:paraId="56E32ACE" w14:textId="7AA297C7" w:rsidR="00437C67" w:rsidRPr="00F21E85" w:rsidRDefault="00437C67" w:rsidP="00437C67">
      <w:pPr>
        <w:pStyle w:val="ListParagraph"/>
        <w:spacing w:before="120" w:after="120"/>
        <w:ind w:left="360"/>
        <w:rPr>
          <w:b/>
          <w:bCs/>
          <w:color w:val="696A6D"/>
          <w:lang w:val="nb-NO"/>
        </w:rPr>
      </w:pPr>
      <w:r w:rsidRPr="00F21E85">
        <w:rPr>
          <w:b/>
          <w:bCs/>
          <w:color w:val="696A6D"/>
          <w:lang w:val="nb-NO"/>
        </w:rPr>
        <w:t>Milepæler</w:t>
      </w:r>
    </w:p>
    <w:p w14:paraId="24C707FF" w14:textId="0E2AB29A" w:rsidR="004E4E0F" w:rsidRDefault="009269DC" w:rsidP="00F21E85">
      <w:pPr>
        <w:pStyle w:val="ListParagraph"/>
        <w:numPr>
          <w:ilvl w:val="0"/>
          <w:numId w:val="17"/>
        </w:numPr>
        <w:spacing w:before="120" w:after="120"/>
        <w:rPr>
          <w:rFonts w:ascii="Aptos" w:eastAsia="Aptos" w:hAnsi="Aptos" w:cs="Aptos"/>
          <w:color w:val="696A6D"/>
          <w:lang w:val="nb-NO"/>
        </w:rPr>
      </w:pPr>
      <w:r w:rsidRPr="004E4E0F">
        <w:rPr>
          <w:rFonts w:ascii="Aptos" w:eastAsia="Aptos" w:hAnsi="Aptos" w:cs="Aptos"/>
          <w:color w:val="696A6D"/>
          <w:lang w:val="nb-NO"/>
        </w:rPr>
        <w:t>Tidligfase rådgivning, validering av idé, veien til samsvar (25</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 xml:space="preserve">000 </w:t>
      </w:r>
      <w:r w:rsidRPr="004E4E0F">
        <w:rPr>
          <w:rFonts w:ascii="Aptos" w:eastAsia="Aptos" w:hAnsi="Aptos" w:cs="Aptos"/>
          <w:color w:val="696A6D"/>
          <w:lang w:val="nb-NO"/>
        </w:rPr>
        <w:t>–100</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000</w:t>
      </w:r>
      <w:r w:rsidRPr="004E4E0F">
        <w:rPr>
          <w:rFonts w:ascii="Aptos" w:eastAsia="Aptos" w:hAnsi="Aptos" w:cs="Aptos"/>
          <w:color w:val="696A6D"/>
          <w:lang w:val="nb-NO"/>
        </w:rPr>
        <w:t xml:space="preserve"> </w:t>
      </w:r>
      <w:r w:rsidR="00CE0BFC" w:rsidRPr="004E4E0F">
        <w:rPr>
          <w:rFonts w:ascii="Aptos" w:eastAsia="Aptos" w:hAnsi="Aptos" w:cs="Aptos"/>
          <w:color w:val="696A6D"/>
          <w:lang w:val="nb-NO"/>
        </w:rPr>
        <w:t>kr.</w:t>
      </w:r>
      <w:r w:rsidRPr="004E4E0F">
        <w:rPr>
          <w:rFonts w:ascii="Aptos" w:eastAsia="Aptos" w:hAnsi="Aptos" w:cs="Aptos"/>
          <w:color w:val="696A6D"/>
          <w:lang w:val="nb-NO"/>
        </w:rPr>
        <w:t>)</w:t>
      </w:r>
    </w:p>
    <w:p w14:paraId="47D5B00B" w14:textId="17126968" w:rsidR="004E4E0F" w:rsidRDefault="009269DC" w:rsidP="00F21E85">
      <w:pPr>
        <w:pStyle w:val="ListParagraph"/>
        <w:numPr>
          <w:ilvl w:val="0"/>
          <w:numId w:val="17"/>
        </w:numPr>
        <w:spacing w:before="120" w:after="120"/>
        <w:rPr>
          <w:rFonts w:ascii="Aptos" w:eastAsia="Aptos" w:hAnsi="Aptos" w:cs="Aptos"/>
          <w:color w:val="696A6D"/>
          <w:lang w:val="nb-NO"/>
        </w:rPr>
      </w:pPr>
      <w:r w:rsidRPr="004E4E0F">
        <w:rPr>
          <w:rFonts w:ascii="Aptos" w:eastAsia="Aptos" w:hAnsi="Aptos" w:cs="Aptos"/>
          <w:color w:val="696A6D"/>
          <w:lang w:val="nb-NO"/>
        </w:rPr>
        <w:t xml:space="preserve">Lokal </w:t>
      </w:r>
      <w:r w:rsidR="00CD00F0" w:rsidRPr="004E4E0F">
        <w:rPr>
          <w:rFonts w:ascii="Aptos" w:eastAsia="Aptos" w:hAnsi="Aptos" w:cs="Aptos"/>
          <w:color w:val="696A6D"/>
          <w:lang w:val="nb-NO"/>
        </w:rPr>
        <w:t>m</w:t>
      </w:r>
      <w:r w:rsidRPr="004E4E0F">
        <w:rPr>
          <w:rFonts w:ascii="Aptos" w:eastAsia="Aptos" w:hAnsi="Aptos" w:cs="Aptos"/>
          <w:color w:val="696A6D"/>
          <w:lang w:val="nb-NO"/>
        </w:rPr>
        <w:t xml:space="preserve">arkedsadgang, </w:t>
      </w:r>
      <w:proofErr w:type="gramStart"/>
      <w:r w:rsidRPr="004E4E0F">
        <w:rPr>
          <w:rFonts w:ascii="Aptos" w:eastAsia="Aptos" w:hAnsi="Aptos" w:cs="Aptos"/>
          <w:color w:val="696A6D"/>
          <w:lang w:val="nb-NO"/>
        </w:rPr>
        <w:t>CE</w:t>
      </w:r>
      <w:r w:rsidR="00CD00F0" w:rsidRPr="004E4E0F">
        <w:rPr>
          <w:rFonts w:ascii="Aptos" w:eastAsia="Aptos" w:hAnsi="Aptos" w:cs="Aptos"/>
          <w:color w:val="696A6D"/>
          <w:lang w:val="nb-NO"/>
        </w:rPr>
        <w:t>-m</w:t>
      </w:r>
      <w:r w:rsidRPr="004E4E0F">
        <w:rPr>
          <w:rFonts w:ascii="Aptos" w:eastAsia="Aptos" w:hAnsi="Aptos" w:cs="Aptos"/>
          <w:color w:val="696A6D"/>
          <w:lang w:val="nb-NO"/>
        </w:rPr>
        <w:t>erking,</w:t>
      </w:r>
      <w:proofErr w:type="gramEnd"/>
      <w:r w:rsidRPr="004E4E0F">
        <w:rPr>
          <w:rFonts w:ascii="Aptos" w:eastAsia="Aptos" w:hAnsi="Aptos" w:cs="Aptos"/>
          <w:color w:val="696A6D"/>
          <w:lang w:val="nb-NO"/>
        </w:rPr>
        <w:t xml:space="preserve"> regulatorisk godkjenning (100</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 xml:space="preserve">000 </w:t>
      </w:r>
      <w:r w:rsidRPr="004E4E0F">
        <w:rPr>
          <w:rFonts w:ascii="Aptos" w:eastAsia="Aptos" w:hAnsi="Aptos" w:cs="Aptos"/>
          <w:color w:val="696A6D"/>
          <w:lang w:val="nb-NO"/>
        </w:rPr>
        <w:t>–</w:t>
      </w:r>
      <w:r w:rsidR="00CD00F0" w:rsidRPr="004E4E0F">
        <w:rPr>
          <w:rFonts w:ascii="Aptos" w:eastAsia="Aptos" w:hAnsi="Aptos" w:cs="Aptos"/>
          <w:color w:val="696A6D"/>
          <w:lang w:val="nb-NO"/>
        </w:rPr>
        <w:t xml:space="preserve"> </w:t>
      </w:r>
      <w:r w:rsidRPr="004E4E0F">
        <w:rPr>
          <w:rFonts w:ascii="Aptos" w:eastAsia="Aptos" w:hAnsi="Aptos" w:cs="Aptos"/>
          <w:color w:val="696A6D"/>
          <w:lang w:val="nb-NO"/>
        </w:rPr>
        <w:t>400</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000</w:t>
      </w:r>
      <w:r w:rsidRPr="004E4E0F">
        <w:rPr>
          <w:rFonts w:ascii="Aptos" w:eastAsia="Aptos" w:hAnsi="Aptos" w:cs="Aptos"/>
          <w:color w:val="696A6D"/>
          <w:lang w:val="nb-NO"/>
        </w:rPr>
        <w:t xml:space="preserve"> </w:t>
      </w:r>
      <w:r w:rsidR="00CE0BFC" w:rsidRPr="004E4E0F">
        <w:rPr>
          <w:rFonts w:ascii="Aptos" w:eastAsia="Aptos" w:hAnsi="Aptos" w:cs="Aptos"/>
          <w:color w:val="696A6D"/>
          <w:lang w:val="nb-NO"/>
        </w:rPr>
        <w:t>kr.</w:t>
      </w:r>
      <w:r w:rsidRPr="004E4E0F">
        <w:rPr>
          <w:rFonts w:ascii="Aptos" w:eastAsia="Aptos" w:hAnsi="Aptos" w:cs="Aptos"/>
          <w:color w:val="696A6D"/>
          <w:lang w:val="nb-NO"/>
        </w:rPr>
        <w:t>)</w:t>
      </w:r>
    </w:p>
    <w:p w14:paraId="127359CE" w14:textId="38627BBF" w:rsidR="009269DC" w:rsidRPr="004E4E0F" w:rsidRDefault="009269DC" w:rsidP="00F21E85">
      <w:pPr>
        <w:pStyle w:val="ListParagraph"/>
        <w:numPr>
          <w:ilvl w:val="0"/>
          <w:numId w:val="17"/>
        </w:numPr>
        <w:spacing w:before="120" w:after="120"/>
        <w:rPr>
          <w:rFonts w:ascii="Aptos" w:eastAsia="Aptos" w:hAnsi="Aptos" w:cs="Aptos"/>
          <w:color w:val="696A6D"/>
          <w:lang w:val="nb-NO"/>
        </w:rPr>
      </w:pPr>
      <w:r w:rsidRPr="004E4E0F">
        <w:rPr>
          <w:rFonts w:ascii="Aptos" w:eastAsia="Aptos" w:hAnsi="Aptos" w:cs="Aptos"/>
          <w:color w:val="696A6D"/>
          <w:lang w:val="nb-NO"/>
        </w:rPr>
        <w:t xml:space="preserve">Internasjonal </w:t>
      </w:r>
      <w:r w:rsidR="00CD00F0" w:rsidRPr="004E4E0F">
        <w:rPr>
          <w:rFonts w:ascii="Aptos" w:eastAsia="Aptos" w:hAnsi="Aptos" w:cs="Aptos"/>
          <w:color w:val="696A6D"/>
          <w:lang w:val="nb-NO"/>
        </w:rPr>
        <w:t>m</w:t>
      </w:r>
      <w:r w:rsidRPr="004E4E0F">
        <w:rPr>
          <w:rFonts w:ascii="Aptos" w:eastAsia="Aptos" w:hAnsi="Aptos" w:cs="Aptos"/>
          <w:color w:val="696A6D"/>
          <w:lang w:val="nb-NO"/>
        </w:rPr>
        <w:t xml:space="preserve">arkedsadgang og/eller </w:t>
      </w:r>
      <w:r w:rsidR="00CD00F0" w:rsidRPr="004E4E0F">
        <w:rPr>
          <w:rFonts w:ascii="Aptos" w:eastAsia="Aptos" w:hAnsi="Aptos" w:cs="Aptos"/>
          <w:color w:val="696A6D"/>
          <w:lang w:val="nb-NO"/>
        </w:rPr>
        <w:t>s</w:t>
      </w:r>
      <w:r w:rsidRPr="004E4E0F">
        <w:rPr>
          <w:rFonts w:ascii="Aptos" w:eastAsia="Aptos" w:hAnsi="Aptos" w:cs="Aptos"/>
          <w:color w:val="696A6D"/>
          <w:lang w:val="nb-NO"/>
        </w:rPr>
        <w:t>kalering (200</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 xml:space="preserve">000 </w:t>
      </w:r>
      <w:r w:rsidRPr="004E4E0F">
        <w:rPr>
          <w:rFonts w:ascii="Aptos" w:eastAsia="Aptos" w:hAnsi="Aptos" w:cs="Aptos"/>
          <w:color w:val="696A6D"/>
          <w:lang w:val="nb-NO"/>
        </w:rPr>
        <w:t>–</w:t>
      </w:r>
      <w:r w:rsidR="00CD00F0" w:rsidRPr="004E4E0F">
        <w:rPr>
          <w:rFonts w:ascii="Aptos" w:eastAsia="Aptos" w:hAnsi="Aptos" w:cs="Aptos"/>
          <w:color w:val="696A6D"/>
          <w:lang w:val="nb-NO"/>
        </w:rPr>
        <w:t xml:space="preserve"> </w:t>
      </w:r>
      <w:r w:rsidRPr="004E4E0F">
        <w:rPr>
          <w:rFonts w:ascii="Aptos" w:eastAsia="Aptos" w:hAnsi="Aptos" w:cs="Aptos"/>
          <w:color w:val="696A6D"/>
          <w:lang w:val="nb-NO"/>
        </w:rPr>
        <w:t>600</w:t>
      </w:r>
      <w:r w:rsidR="00CE0BFC" w:rsidRPr="004E4E0F">
        <w:rPr>
          <w:rFonts w:ascii="Aptos" w:eastAsia="Aptos" w:hAnsi="Aptos" w:cs="Aptos"/>
          <w:color w:val="696A6D"/>
          <w:lang w:val="nb-NO"/>
        </w:rPr>
        <w:t xml:space="preserve"> </w:t>
      </w:r>
      <w:r w:rsidR="00CD00F0" w:rsidRPr="004E4E0F">
        <w:rPr>
          <w:rFonts w:ascii="Aptos" w:eastAsia="Aptos" w:hAnsi="Aptos" w:cs="Aptos"/>
          <w:color w:val="696A6D"/>
          <w:lang w:val="nb-NO"/>
        </w:rPr>
        <w:t>000</w:t>
      </w:r>
      <w:r w:rsidRPr="004E4E0F">
        <w:rPr>
          <w:rFonts w:ascii="Aptos" w:eastAsia="Aptos" w:hAnsi="Aptos" w:cs="Aptos"/>
          <w:color w:val="696A6D"/>
          <w:lang w:val="nb-NO"/>
        </w:rPr>
        <w:t xml:space="preserve"> </w:t>
      </w:r>
      <w:r w:rsidR="00CE0BFC" w:rsidRPr="004E4E0F">
        <w:rPr>
          <w:rFonts w:ascii="Aptos" w:eastAsia="Aptos" w:hAnsi="Aptos" w:cs="Aptos"/>
          <w:color w:val="696A6D"/>
          <w:lang w:val="nb-NO"/>
        </w:rPr>
        <w:t>kr.</w:t>
      </w:r>
      <w:r w:rsidRPr="004E4E0F">
        <w:rPr>
          <w:rFonts w:ascii="Aptos" w:eastAsia="Aptos" w:hAnsi="Aptos" w:cs="Aptos"/>
          <w:color w:val="696A6D"/>
          <w:lang w:val="nb-NO"/>
        </w:rPr>
        <w:t>)</w:t>
      </w:r>
    </w:p>
    <w:p w14:paraId="2B3482B4" w14:textId="77777777" w:rsidR="004E4E0F" w:rsidRPr="004E4E0F" w:rsidRDefault="004E4E0F" w:rsidP="00CE0BFC">
      <w:pPr>
        <w:rPr>
          <w:b/>
          <w:bCs/>
          <w:color w:val="696A6D"/>
          <w:lang w:val="nb-NO"/>
        </w:rPr>
      </w:pPr>
    </w:p>
    <w:p w14:paraId="0C5BECEA" w14:textId="77777777" w:rsidR="004E4E0F" w:rsidRPr="004E4E0F" w:rsidRDefault="004E4E0F" w:rsidP="00CE0BFC">
      <w:pPr>
        <w:rPr>
          <w:b/>
          <w:bCs/>
          <w:color w:val="696A6D"/>
          <w:lang w:val="nb-NO"/>
        </w:rPr>
      </w:pPr>
    </w:p>
    <w:p w14:paraId="5FF945AE" w14:textId="77777777" w:rsidR="00AE289D" w:rsidRDefault="00CE0BFC" w:rsidP="00CE0BFC">
      <w:pPr>
        <w:rPr>
          <w:color w:val="696A6D"/>
          <w:lang w:val="en-GB"/>
        </w:rPr>
      </w:pPr>
      <w:r w:rsidRPr="004E4E0F">
        <w:rPr>
          <w:color w:val="696A6D"/>
          <w:lang w:val="en-GB"/>
        </w:rPr>
        <w:t>For 2026, the total allocation budget will be NOK 1 500 000.</w:t>
      </w:r>
    </w:p>
    <w:p w14:paraId="1854E18E" w14:textId="77777777" w:rsidR="00AE289D" w:rsidRDefault="00CE0BFC" w:rsidP="00CE0BFC">
      <w:pPr>
        <w:rPr>
          <w:color w:val="696A6D"/>
          <w:lang w:val="en-GB"/>
        </w:rPr>
      </w:pPr>
      <w:r w:rsidRPr="004E4E0F">
        <w:rPr>
          <w:color w:val="696A6D"/>
          <w:lang w:val="en-GB"/>
        </w:rPr>
        <w:t>Grants per project shall not exceed the available return from the Foundation’s equity/dividends, and this amount may vary from year to year.</w:t>
      </w:r>
    </w:p>
    <w:p w14:paraId="3C8BB77A" w14:textId="77777777" w:rsidR="00AE289D" w:rsidRDefault="00CE0BFC" w:rsidP="00CE0BFC">
      <w:pPr>
        <w:rPr>
          <w:color w:val="696A6D"/>
          <w:lang w:val="en-GB"/>
        </w:rPr>
      </w:pPr>
      <w:r w:rsidRPr="004E4E0F">
        <w:rPr>
          <w:color w:val="696A6D"/>
          <w:lang w:val="en-GB"/>
        </w:rPr>
        <w:t>The allocation capital may be divided across multiple projects and applications.</w:t>
      </w:r>
    </w:p>
    <w:p w14:paraId="56B36482" w14:textId="133AEAC9" w:rsidR="00CE0BFC" w:rsidRPr="004E4E0F" w:rsidRDefault="00CE0BFC" w:rsidP="00CE0BFC">
      <w:pPr>
        <w:rPr>
          <w:color w:val="696A6D"/>
          <w:lang w:val="en-GB"/>
        </w:rPr>
      </w:pPr>
      <w:r w:rsidRPr="004E4E0F">
        <w:rPr>
          <w:color w:val="696A6D"/>
          <w:lang w:val="en-GB"/>
        </w:rPr>
        <w:t>Grants are awarded based on an assessment of the project’s or product development’s stage at the time of application</w:t>
      </w:r>
      <w:r w:rsidR="00CE30F4">
        <w:rPr>
          <w:color w:val="696A6D"/>
          <w:lang w:val="en-GB"/>
        </w:rPr>
        <w:t>.</w:t>
      </w:r>
    </w:p>
    <w:p w14:paraId="67ECB41B" w14:textId="77777777" w:rsidR="00F21E85" w:rsidRPr="00CE30F4" w:rsidRDefault="00CE0BFC" w:rsidP="00F21E85">
      <w:pPr>
        <w:pStyle w:val="ListParagraph"/>
        <w:numPr>
          <w:ilvl w:val="0"/>
          <w:numId w:val="16"/>
        </w:numPr>
        <w:spacing w:before="120" w:after="120"/>
        <w:rPr>
          <w:rFonts w:ascii="Aptos" w:eastAsia="Aptos" w:hAnsi="Aptos" w:cs="Aptos"/>
          <w:color w:val="696A6D"/>
          <w:lang w:val="en-GB"/>
        </w:rPr>
      </w:pPr>
      <w:r w:rsidRPr="00CE30F4">
        <w:rPr>
          <w:rFonts w:ascii="Aptos" w:eastAsia="Aptos" w:hAnsi="Aptos" w:cs="Aptos"/>
          <w:color w:val="696A6D"/>
          <w:lang w:val="en-GB"/>
        </w:rPr>
        <w:t>The applicant defines a specific milestone that represents a current barrier.</w:t>
      </w:r>
    </w:p>
    <w:p w14:paraId="61AF67A2" w14:textId="3BA5EFC9" w:rsidR="00CE0BFC" w:rsidRPr="00DF48B9" w:rsidRDefault="00CE0BFC" w:rsidP="00F21E85">
      <w:pPr>
        <w:pStyle w:val="ListParagraph"/>
        <w:numPr>
          <w:ilvl w:val="0"/>
          <w:numId w:val="16"/>
        </w:numPr>
        <w:spacing w:before="120" w:after="120"/>
        <w:rPr>
          <w:rFonts w:ascii="Aptos" w:eastAsia="Aptos" w:hAnsi="Aptos" w:cs="Aptos"/>
          <w:color w:val="696A6D"/>
          <w:lang w:val="en-GB"/>
        </w:rPr>
      </w:pPr>
      <w:r w:rsidRPr="00DF48B9">
        <w:rPr>
          <w:rFonts w:ascii="Aptos" w:eastAsia="Aptos" w:hAnsi="Aptos" w:cs="Aptos"/>
          <w:color w:val="696A6D"/>
          <w:lang w:val="en-GB"/>
        </w:rPr>
        <w:t>The Allocation Committee assesses where in the development process this milestone is situated according to the following levels:</w:t>
      </w:r>
    </w:p>
    <w:p w14:paraId="0CF170C9" w14:textId="77777777" w:rsidR="00F21E85" w:rsidRDefault="00F21E85" w:rsidP="00F21E85">
      <w:pPr>
        <w:pStyle w:val="ListParagraph"/>
        <w:spacing w:before="120" w:after="120"/>
        <w:ind w:left="360"/>
        <w:rPr>
          <w:rFonts w:ascii="Aptos" w:eastAsia="Aptos" w:hAnsi="Aptos" w:cs="Aptos"/>
          <w:color w:val="696A6D"/>
          <w:lang w:val="en-GB"/>
        </w:rPr>
      </w:pPr>
    </w:p>
    <w:p w14:paraId="4C634798" w14:textId="426E66A6" w:rsidR="00F21E85" w:rsidRPr="00F21E85" w:rsidRDefault="00F21E85" w:rsidP="00F21E85">
      <w:pPr>
        <w:pStyle w:val="ListParagraph"/>
        <w:spacing w:before="120" w:after="120"/>
        <w:ind w:left="360"/>
        <w:rPr>
          <w:rFonts w:ascii="Aptos" w:eastAsia="Aptos" w:hAnsi="Aptos" w:cs="Aptos"/>
          <w:b/>
          <w:bCs/>
          <w:color w:val="696A6D"/>
          <w:lang w:val="en-GB"/>
        </w:rPr>
      </w:pPr>
      <w:r w:rsidRPr="00F21E85">
        <w:rPr>
          <w:rFonts w:ascii="Aptos" w:eastAsia="Aptos" w:hAnsi="Aptos" w:cs="Aptos"/>
          <w:b/>
          <w:bCs/>
          <w:color w:val="696A6D"/>
          <w:lang w:val="en-GB"/>
        </w:rPr>
        <w:t>Milestones</w:t>
      </w:r>
    </w:p>
    <w:p w14:paraId="54E5C104" w14:textId="708469D5" w:rsidR="004E4E0F" w:rsidRDefault="00CE0BFC" w:rsidP="00F21E85">
      <w:pPr>
        <w:pStyle w:val="ListParagraph"/>
        <w:numPr>
          <w:ilvl w:val="0"/>
          <w:numId w:val="18"/>
        </w:numPr>
        <w:spacing w:before="120" w:after="120"/>
        <w:rPr>
          <w:rFonts w:ascii="Aptos" w:eastAsia="Aptos" w:hAnsi="Aptos" w:cs="Aptos"/>
          <w:color w:val="696A6D"/>
          <w:lang w:val="en-GB"/>
        </w:rPr>
      </w:pPr>
      <w:r w:rsidRPr="004E4E0F">
        <w:rPr>
          <w:rFonts w:ascii="Aptos" w:eastAsia="Aptos" w:hAnsi="Aptos" w:cs="Aptos"/>
          <w:color w:val="696A6D"/>
          <w:lang w:val="en-GB"/>
        </w:rPr>
        <w:t>Early-stage advisory, idea validation, pathway to compliance (NOK 25 000 – 100 000)</w:t>
      </w:r>
    </w:p>
    <w:p w14:paraId="71C84471" w14:textId="22DD0C63" w:rsidR="004E4E0F" w:rsidRDefault="00CE0BFC" w:rsidP="00F21E85">
      <w:pPr>
        <w:pStyle w:val="ListParagraph"/>
        <w:numPr>
          <w:ilvl w:val="0"/>
          <w:numId w:val="18"/>
        </w:numPr>
        <w:spacing w:before="120" w:after="120"/>
        <w:rPr>
          <w:rFonts w:ascii="Aptos" w:eastAsia="Aptos" w:hAnsi="Aptos" w:cs="Aptos"/>
          <w:color w:val="696A6D"/>
          <w:lang w:val="en-GB"/>
        </w:rPr>
      </w:pPr>
      <w:r w:rsidRPr="004E4E0F">
        <w:rPr>
          <w:rFonts w:ascii="Aptos" w:eastAsia="Aptos" w:hAnsi="Aptos" w:cs="Aptos"/>
          <w:color w:val="696A6D"/>
          <w:lang w:val="en-GB"/>
        </w:rPr>
        <w:t>Local market access, CE marking, regulatory approval (NOK 100 000 – 400 000)</w:t>
      </w:r>
    </w:p>
    <w:p w14:paraId="21278A45" w14:textId="1530FD1F" w:rsidR="00CE0BFC" w:rsidRPr="004E4E0F" w:rsidRDefault="00CE0BFC" w:rsidP="00F21E85">
      <w:pPr>
        <w:pStyle w:val="ListParagraph"/>
        <w:numPr>
          <w:ilvl w:val="0"/>
          <w:numId w:val="18"/>
        </w:numPr>
        <w:spacing w:before="120" w:after="120"/>
        <w:rPr>
          <w:rFonts w:ascii="Aptos" w:eastAsia="Aptos" w:hAnsi="Aptos" w:cs="Aptos"/>
          <w:color w:val="696A6D"/>
          <w:lang w:val="en-GB"/>
        </w:rPr>
      </w:pPr>
      <w:r w:rsidRPr="004E4E0F">
        <w:rPr>
          <w:rFonts w:ascii="Aptos" w:eastAsia="Aptos" w:hAnsi="Aptos" w:cs="Aptos"/>
          <w:color w:val="696A6D"/>
          <w:lang w:val="en-GB"/>
        </w:rPr>
        <w:t>International market access and/or scaling (NOK 200 000 – 600 000)</w:t>
      </w:r>
    </w:p>
    <w:p w14:paraId="3B1BE2A3" w14:textId="77777777" w:rsidR="004E4E0F" w:rsidRDefault="004E4E0F" w:rsidP="009269DC">
      <w:pPr>
        <w:rPr>
          <w:lang w:val="en-GB"/>
        </w:rPr>
        <w:sectPr w:rsidR="004E4E0F" w:rsidSect="004E4E0F">
          <w:type w:val="continuous"/>
          <w:pgSz w:w="11906" w:h="16838"/>
          <w:pgMar w:top="2700" w:right="851" w:bottom="1418" w:left="851" w:header="709" w:footer="709" w:gutter="0"/>
          <w:cols w:num="2" w:space="708"/>
          <w:docGrid w:linePitch="360"/>
        </w:sectPr>
      </w:pPr>
    </w:p>
    <w:p w14:paraId="7127A1F8" w14:textId="7D97E909" w:rsidR="009269DC" w:rsidRPr="00CE0BFC" w:rsidRDefault="009269DC" w:rsidP="009269DC">
      <w:pPr>
        <w:rPr>
          <w:lang w:val="en-GB"/>
        </w:rPr>
      </w:pPr>
      <w:r w:rsidRPr="00CE0BFC">
        <w:rPr>
          <w:lang w:val="en-GB"/>
        </w:rPr>
        <w:br w:type="page"/>
      </w:r>
    </w:p>
    <w:p w14:paraId="187D880E" w14:textId="1465A735" w:rsidR="009269DC" w:rsidRPr="00E62D3E" w:rsidRDefault="009269DC" w:rsidP="009269DC">
      <w:pPr>
        <w:pStyle w:val="Heading1"/>
        <w:rPr>
          <w:lang w:val="nb-NO"/>
        </w:rPr>
      </w:pPr>
      <w:bookmarkStart w:id="7" w:name="_Toc212534918"/>
      <w:r w:rsidRPr="00E62D3E">
        <w:rPr>
          <w:lang w:val="nb-NO"/>
        </w:rPr>
        <w:lastRenderedPageBreak/>
        <w:t>Tildelingsgruppe</w:t>
      </w:r>
      <w:r w:rsidR="00452CCA">
        <w:rPr>
          <w:lang w:val="nb-NO"/>
        </w:rPr>
        <w:t xml:space="preserve"> | </w:t>
      </w:r>
      <w:r w:rsidR="00727DDA">
        <w:rPr>
          <w:lang w:val="nb-NO"/>
        </w:rPr>
        <w:t>A</w:t>
      </w:r>
      <w:r w:rsidR="00452CCA">
        <w:rPr>
          <w:lang w:val="nb-NO"/>
        </w:rPr>
        <w:t>llocation group</w:t>
      </w:r>
      <w:bookmarkEnd w:id="7"/>
    </w:p>
    <w:p w14:paraId="22D9365D" w14:textId="77777777" w:rsidR="009269DC" w:rsidRDefault="009269DC" w:rsidP="009269DC">
      <w:pPr>
        <w:rPr>
          <w:lang w:val="nb-NO"/>
        </w:rPr>
      </w:pPr>
    </w:p>
    <w:p w14:paraId="72749D65" w14:textId="77777777" w:rsidR="00727DDA" w:rsidRDefault="00727DDA" w:rsidP="009269DC">
      <w:pPr>
        <w:rPr>
          <w:color w:val="696A6D"/>
          <w:lang w:val="nb-NO"/>
        </w:rPr>
        <w:sectPr w:rsidR="00727DDA" w:rsidSect="007618AB">
          <w:type w:val="continuous"/>
          <w:pgSz w:w="11906" w:h="16838"/>
          <w:pgMar w:top="2700" w:right="851" w:bottom="1418" w:left="851" w:header="709" w:footer="709" w:gutter="0"/>
          <w:cols w:space="708"/>
          <w:docGrid w:linePitch="360"/>
        </w:sectPr>
      </w:pPr>
    </w:p>
    <w:p w14:paraId="020746E2" w14:textId="26738F6A" w:rsidR="009269DC" w:rsidRPr="00727DDA" w:rsidRDefault="009269DC" w:rsidP="009269DC">
      <w:pPr>
        <w:rPr>
          <w:color w:val="696A6D"/>
          <w:lang w:val="nb-NO"/>
        </w:rPr>
      </w:pPr>
      <w:r w:rsidRPr="00727DDA">
        <w:rPr>
          <w:color w:val="696A6D"/>
          <w:lang w:val="nb-NO"/>
        </w:rPr>
        <w:t xml:space="preserve">En objektivt sammensatt tildelingsgruppe </w:t>
      </w:r>
      <w:r w:rsidR="008701E5" w:rsidRPr="00727DDA">
        <w:rPr>
          <w:color w:val="696A6D"/>
          <w:lang w:val="nb-NO"/>
        </w:rPr>
        <w:t>består</w:t>
      </w:r>
      <w:r w:rsidRPr="00727DDA">
        <w:rPr>
          <w:color w:val="696A6D"/>
          <w:lang w:val="nb-NO"/>
        </w:rPr>
        <w:t xml:space="preserve"> av følgende representanter for å sikre kompetanse, uavhengighet og objektiv vurdering:</w:t>
      </w:r>
    </w:p>
    <w:p w14:paraId="6C370F4F" w14:textId="251010DE" w:rsidR="009269DC" w:rsidRPr="00727DDA" w:rsidRDefault="009269DC" w:rsidP="009269DC">
      <w:pPr>
        <w:numPr>
          <w:ilvl w:val="0"/>
          <w:numId w:val="5"/>
        </w:numPr>
        <w:tabs>
          <w:tab w:val="left" w:pos="720"/>
        </w:tabs>
        <w:rPr>
          <w:color w:val="696A6D"/>
          <w:lang w:val="nb-NO"/>
        </w:rPr>
      </w:pPr>
      <w:r w:rsidRPr="00727DDA">
        <w:rPr>
          <w:b/>
          <w:bCs/>
          <w:color w:val="696A6D"/>
          <w:lang w:val="nb-NO"/>
        </w:rPr>
        <w:t xml:space="preserve">Representant fra </w:t>
      </w:r>
      <w:r w:rsidR="008701E5" w:rsidRPr="00727DDA">
        <w:rPr>
          <w:b/>
          <w:bCs/>
          <w:i/>
          <w:iCs/>
          <w:color w:val="696A6D"/>
          <w:lang w:val="nb-NO"/>
        </w:rPr>
        <w:t>Stiftelsen Norges Elektriske Materiellkontroll (NEMKO)</w:t>
      </w:r>
      <w:r w:rsidR="008701E5" w:rsidRPr="00727DDA">
        <w:rPr>
          <w:b/>
          <w:bCs/>
          <w:color w:val="696A6D"/>
          <w:lang w:val="nb-NO"/>
        </w:rPr>
        <w:t xml:space="preserve"> </w:t>
      </w:r>
      <w:r w:rsidRPr="00727DDA">
        <w:rPr>
          <w:b/>
          <w:bCs/>
          <w:color w:val="696A6D"/>
          <w:lang w:val="nb-NO"/>
        </w:rPr>
        <w:t xml:space="preserve"> </w:t>
      </w:r>
      <w:r w:rsidRPr="00727DDA">
        <w:rPr>
          <w:color w:val="696A6D"/>
          <w:lang w:val="nb-NO"/>
        </w:rPr>
        <w:br/>
        <w:t>Sikrer at tildelingene støtter fondets strategiske formål.</w:t>
      </w:r>
    </w:p>
    <w:p w14:paraId="17534749" w14:textId="77777777" w:rsidR="009269DC" w:rsidRPr="00727DDA" w:rsidRDefault="009269DC" w:rsidP="009269DC">
      <w:pPr>
        <w:numPr>
          <w:ilvl w:val="0"/>
          <w:numId w:val="5"/>
        </w:numPr>
        <w:tabs>
          <w:tab w:val="left" w:pos="720"/>
        </w:tabs>
        <w:rPr>
          <w:color w:val="696A6D"/>
          <w:lang w:val="nb-NO"/>
        </w:rPr>
      </w:pPr>
      <w:r w:rsidRPr="00727DDA">
        <w:rPr>
          <w:b/>
          <w:bCs/>
          <w:color w:val="696A6D"/>
          <w:lang w:val="nb-NO"/>
        </w:rPr>
        <w:t xml:space="preserve">Representant valgt av ansatte i Nemko Group </w:t>
      </w:r>
      <w:r w:rsidRPr="00727DDA">
        <w:rPr>
          <w:color w:val="696A6D"/>
          <w:lang w:val="nb-NO"/>
        </w:rPr>
        <w:br/>
        <w:t>Bidrar med praktisk innsikt fra selskapets daglige drift og interne perspektiver.</w:t>
      </w:r>
    </w:p>
    <w:p w14:paraId="70E27031" w14:textId="11E69321" w:rsidR="009269DC" w:rsidRPr="00727DDA" w:rsidRDefault="009269DC" w:rsidP="009269DC">
      <w:pPr>
        <w:numPr>
          <w:ilvl w:val="0"/>
          <w:numId w:val="5"/>
        </w:numPr>
        <w:tabs>
          <w:tab w:val="left" w:pos="720"/>
        </w:tabs>
        <w:rPr>
          <w:color w:val="696A6D"/>
          <w:lang w:val="nb-NO"/>
        </w:rPr>
      </w:pPr>
      <w:r w:rsidRPr="00727DDA">
        <w:rPr>
          <w:b/>
          <w:bCs/>
          <w:color w:val="696A6D"/>
          <w:lang w:val="nb-NO"/>
        </w:rPr>
        <w:t xml:space="preserve">Ekstern representant fra akademia </w:t>
      </w:r>
      <w:r w:rsidRPr="00727DDA">
        <w:rPr>
          <w:color w:val="696A6D"/>
          <w:lang w:val="nb-NO"/>
        </w:rPr>
        <w:br/>
        <w:t xml:space="preserve">Sikrer faglig kompetanse og vurdering av innovasjon og </w:t>
      </w:r>
      <w:r w:rsidR="008701E5" w:rsidRPr="00727DDA">
        <w:rPr>
          <w:color w:val="696A6D"/>
          <w:lang w:val="nb-NO"/>
        </w:rPr>
        <w:t>teknisk kvalitet.</w:t>
      </w:r>
    </w:p>
    <w:p w14:paraId="39F6FC3D" w14:textId="30B14A4A" w:rsidR="009269DC" w:rsidRPr="00727DDA" w:rsidRDefault="009269DC" w:rsidP="008701E5">
      <w:pPr>
        <w:numPr>
          <w:ilvl w:val="0"/>
          <w:numId w:val="5"/>
        </w:numPr>
        <w:tabs>
          <w:tab w:val="left" w:pos="720"/>
        </w:tabs>
        <w:rPr>
          <w:color w:val="696A6D"/>
          <w:lang w:val="nb-NO"/>
        </w:rPr>
      </w:pPr>
      <w:r w:rsidRPr="00727DDA">
        <w:rPr>
          <w:b/>
          <w:bCs/>
          <w:color w:val="696A6D"/>
          <w:lang w:val="nb-NO"/>
        </w:rPr>
        <w:t xml:space="preserve">Ekstern representant fra relevant industri/sektor </w:t>
      </w:r>
      <w:r w:rsidR="008701E5" w:rsidRPr="00727DDA">
        <w:rPr>
          <w:b/>
          <w:bCs/>
          <w:color w:val="696A6D"/>
          <w:lang w:val="nb-NO"/>
        </w:rPr>
        <w:br/>
      </w:r>
      <w:r w:rsidRPr="00727DDA">
        <w:rPr>
          <w:color w:val="696A6D"/>
          <w:lang w:val="nb-NO"/>
        </w:rPr>
        <w:t>Gir praktiske vurderinger av verdiskaping, kommersialiseringspotensial og relevans for industrien.</w:t>
      </w:r>
    </w:p>
    <w:p w14:paraId="5337947D" w14:textId="77777777" w:rsidR="009269DC" w:rsidRPr="00727DDA" w:rsidRDefault="009269DC" w:rsidP="009269DC">
      <w:pPr>
        <w:numPr>
          <w:ilvl w:val="0"/>
          <w:numId w:val="5"/>
        </w:numPr>
        <w:tabs>
          <w:tab w:val="left" w:pos="720"/>
        </w:tabs>
        <w:rPr>
          <w:color w:val="696A6D"/>
          <w:lang w:val="nb-NO"/>
        </w:rPr>
      </w:pPr>
      <w:r w:rsidRPr="00727DDA">
        <w:rPr>
          <w:b/>
          <w:bCs/>
          <w:color w:val="696A6D"/>
          <w:lang w:val="nb-NO"/>
        </w:rPr>
        <w:t xml:space="preserve">Styremedlem fra Nemko Group AS </w:t>
      </w:r>
      <w:r w:rsidRPr="00727DDA">
        <w:rPr>
          <w:color w:val="696A6D"/>
          <w:lang w:val="nb-NO"/>
        </w:rPr>
        <w:br/>
        <w:t>Bidrar til sammenheng mellom fondets støtte og konsernets langsiktige strategi og markedsposisjon.</w:t>
      </w:r>
    </w:p>
    <w:p w14:paraId="16486192" w14:textId="420A9CD6" w:rsidR="009269DC" w:rsidRPr="00727DDA" w:rsidRDefault="009269DC" w:rsidP="009269DC">
      <w:pPr>
        <w:rPr>
          <w:color w:val="696A6D"/>
          <w:lang w:val="nb-NO"/>
        </w:rPr>
      </w:pPr>
      <w:r w:rsidRPr="00727DDA">
        <w:rPr>
          <w:color w:val="696A6D"/>
          <w:lang w:val="nb-NO"/>
        </w:rPr>
        <w:t>Denne gruppen sikrer en balansert, faglig sterk og objektiv vurdering av søknader, samtidig som transparens, integritet og uavhengighet i beslutningsprosessen</w:t>
      </w:r>
      <w:r w:rsidR="008701E5" w:rsidRPr="00727DDA">
        <w:rPr>
          <w:color w:val="696A6D"/>
          <w:lang w:val="nb-NO"/>
        </w:rPr>
        <w:t xml:space="preserve"> ivaretas. </w:t>
      </w:r>
    </w:p>
    <w:p w14:paraId="20E508CF" w14:textId="0D8FBAAE" w:rsidR="008701E5" w:rsidRPr="00727DDA" w:rsidRDefault="009269DC" w:rsidP="009269DC">
      <w:pPr>
        <w:rPr>
          <w:color w:val="696A6D"/>
          <w:lang w:val="nb-NO"/>
        </w:rPr>
      </w:pPr>
      <w:r w:rsidRPr="00727DDA">
        <w:rPr>
          <w:color w:val="696A6D"/>
          <w:lang w:val="nb-NO"/>
        </w:rPr>
        <w:t xml:space="preserve">Medlemmene i gruppen velges for to år, og gruppen ledes av representanten fra </w:t>
      </w:r>
      <w:r w:rsidR="008701E5" w:rsidRPr="00727DDA">
        <w:rPr>
          <w:color w:val="696A6D"/>
          <w:lang w:val="nb-NO"/>
        </w:rPr>
        <w:t>Stiftelsen Norges Elektriske Materiellkontroll (NEMKO).</w:t>
      </w:r>
    </w:p>
    <w:p w14:paraId="65CEC9FC" w14:textId="42F99C07" w:rsidR="009269DC" w:rsidRPr="00727DDA" w:rsidRDefault="009269DC" w:rsidP="009269DC">
      <w:pPr>
        <w:rPr>
          <w:color w:val="696A6D"/>
          <w:lang w:val="nb-NO"/>
        </w:rPr>
      </w:pPr>
      <w:r w:rsidRPr="00727DDA">
        <w:rPr>
          <w:color w:val="696A6D"/>
          <w:lang w:val="nb-NO"/>
        </w:rPr>
        <w:t>Medlemmene har mulighet for gjenvalg, men bør vurderes skiftet ut etter to til tre perioder</w:t>
      </w:r>
      <w:r w:rsidR="008701E5" w:rsidRPr="00727DDA">
        <w:rPr>
          <w:color w:val="696A6D"/>
          <w:lang w:val="nb-NO"/>
        </w:rPr>
        <w:t>.</w:t>
      </w:r>
    </w:p>
    <w:p w14:paraId="4DF1F239" w14:textId="77777777" w:rsidR="008701E5" w:rsidRPr="00727DDA" w:rsidRDefault="008701E5" w:rsidP="009269DC">
      <w:pPr>
        <w:rPr>
          <w:color w:val="696A6D"/>
          <w:lang w:val="nb-NO"/>
        </w:rPr>
      </w:pPr>
    </w:p>
    <w:p w14:paraId="23193DA2" w14:textId="1A4BE296" w:rsidR="002033EF" w:rsidRPr="00727DDA" w:rsidRDefault="002033EF" w:rsidP="002033EF">
      <w:pPr>
        <w:rPr>
          <w:color w:val="696A6D"/>
          <w:lang w:val="en-GB"/>
        </w:rPr>
      </w:pPr>
      <w:r w:rsidRPr="00727DDA">
        <w:rPr>
          <w:color w:val="696A6D"/>
          <w:lang w:val="en-GB"/>
        </w:rPr>
        <w:t>An objectively composed Allocation Committee consists of the following representatives to ensure expertise, independence, and impartial evaluation:</w:t>
      </w:r>
    </w:p>
    <w:p w14:paraId="1A5E28E0" w14:textId="32413A90" w:rsidR="002033EF" w:rsidRPr="00727DDA" w:rsidRDefault="002033EF" w:rsidP="002033EF">
      <w:pPr>
        <w:numPr>
          <w:ilvl w:val="0"/>
          <w:numId w:val="13"/>
        </w:numPr>
        <w:rPr>
          <w:color w:val="696A6D"/>
          <w:lang w:val="en-GB"/>
        </w:rPr>
      </w:pPr>
      <w:r w:rsidRPr="00727DDA">
        <w:rPr>
          <w:b/>
          <w:bCs/>
          <w:color w:val="696A6D"/>
          <w:lang w:val="en-GB"/>
        </w:rPr>
        <w:t xml:space="preserve">Representative from the </w:t>
      </w:r>
      <w:proofErr w:type="spellStart"/>
      <w:r w:rsidRPr="00727DDA">
        <w:rPr>
          <w:b/>
          <w:bCs/>
          <w:i/>
          <w:iCs/>
          <w:color w:val="696A6D"/>
          <w:lang w:val="en-GB"/>
        </w:rPr>
        <w:t>Stiftelsen</w:t>
      </w:r>
      <w:proofErr w:type="spellEnd"/>
      <w:r w:rsidRPr="00727DDA">
        <w:rPr>
          <w:b/>
          <w:bCs/>
          <w:i/>
          <w:iCs/>
          <w:color w:val="696A6D"/>
          <w:lang w:val="en-GB"/>
        </w:rPr>
        <w:t xml:space="preserve"> </w:t>
      </w:r>
      <w:proofErr w:type="spellStart"/>
      <w:r w:rsidRPr="00727DDA">
        <w:rPr>
          <w:b/>
          <w:bCs/>
          <w:i/>
          <w:iCs/>
          <w:color w:val="696A6D"/>
          <w:lang w:val="en-GB"/>
        </w:rPr>
        <w:t>Norges</w:t>
      </w:r>
      <w:proofErr w:type="spellEnd"/>
      <w:r w:rsidRPr="00727DDA">
        <w:rPr>
          <w:b/>
          <w:bCs/>
          <w:i/>
          <w:iCs/>
          <w:color w:val="696A6D"/>
          <w:lang w:val="en-GB"/>
        </w:rPr>
        <w:t xml:space="preserve"> </w:t>
      </w:r>
      <w:proofErr w:type="spellStart"/>
      <w:r w:rsidRPr="00727DDA">
        <w:rPr>
          <w:b/>
          <w:bCs/>
          <w:i/>
          <w:iCs/>
          <w:color w:val="696A6D"/>
          <w:lang w:val="en-GB"/>
        </w:rPr>
        <w:t>Elektriske</w:t>
      </w:r>
      <w:proofErr w:type="spellEnd"/>
      <w:r w:rsidRPr="00727DDA">
        <w:rPr>
          <w:b/>
          <w:bCs/>
          <w:i/>
          <w:iCs/>
          <w:color w:val="696A6D"/>
          <w:lang w:val="en-GB"/>
        </w:rPr>
        <w:t xml:space="preserve"> </w:t>
      </w:r>
      <w:proofErr w:type="spellStart"/>
      <w:r w:rsidRPr="00727DDA">
        <w:rPr>
          <w:b/>
          <w:bCs/>
          <w:i/>
          <w:iCs/>
          <w:color w:val="696A6D"/>
          <w:lang w:val="en-GB"/>
        </w:rPr>
        <w:t>Materiellkontroll</w:t>
      </w:r>
      <w:proofErr w:type="spellEnd"/>
      <w:r w:rsidRPr="00727DDA">
        <w:rPr>
          <w:b/>
          <w:bCs/>
          <w:i/>
          <w:iCs/>
          <w:color w:val="696A6D"/>
          <w:lang w:val="en-GB"/>
        </w:rPr>
        <w:t xml:space="preserve"> (NEMKO)</w:t>
      </w:r>
      <w:r w:rsidRPr="00727DDA">
        <w:rPr>
          <w:i/>
          <w:iCs/>
          <w:color w:val="696A6D"/>
          <w:lang w:val="en-GB"/>
        </w:rPr>
        <w:br/>
      </w:r>
      <w:r w:rsidRPr="00727DDA">
        <w:rPr>
          <w:color w:val="696A6D"/>
          <w:lang w:val="en-GB"/>
        </w:rPr>
        <w:t>Ensures that allocations support the fund’s strategic objectives.</w:t>
      </w:r>
    </w:p>
    <w:p w14:paraId="2952D59E" w14:textId="77777777" w:rsidR="002033EF" w:rsidRPr="00727DDA" w:rsidRDefault="002033EF" w:rsidP="002033EF">
      <w:pPr>
        <w:numPr>
          <w:ilvl w:val="0"/>
          <w:numId w:val="13"/>
        </w:numPr>
        <w:rPr>
          <w:color w:val="696A6D"/>
          <w:lang w:val="en-GB"/>
        </w:rPr>
      </w:pPr>
      <w:r w:rsidRPr="00727DDA">
        <w:rPr>
          <w:b/>
          <w:bCs/>
          <w:color w:val="696A6D"/>
          <w:lang w:val="en-GB"/>
        </w:rPr>
        <w:t>Representative elected by the employees of Nemko Group</w:t>
      </w:r>
      <w:r w:rsidRPr="00727DDA">
        <w:rPr>
          <w:color w:val="696A6D"/>
          <w:lang w:val="en-GB"/>
        </w:rPr>
        <w:br/>
        <w:t>Contributes practical insight from the company’s daily operations and internal perspectives.</w:t>
      </w:r>
    </w:p>
    <w:p w14:paraId="69D9E9BC" w14:textId="77777777" w:rsidR="002033EF" w:rsidRPr="00727DDA" w:rsidRDefault="002033EF" w:rsidP="002033EF">
      <w:pPr>
        <w:numPr>
          <w:ilvl w:val="0"/>
          <w:numId w:val="13"/>
        </w:numPr>
        <w:rPr>
          <w:color w:val="696A6D"/>
          <w:lang w:val="en-GB"/>
        </w:rPr>
      </w:pPr>
      <w:r w:rsidRPr="00727DDA">
        <w:rPr>
          <w:b/>
          <w:bCs/>
          <w:color w:val="696A6D"/>
          <w:lang w:val="en-GB"/>
        </w:rPr>
        <w:t>External representative from academia</w:t>
      </w:r>
      <w:r w:rsidRPr="00727DDA">
        <w:rPr>
          <w:color w:val="696A6D"/>
          <w:lang w:val="en-GB"/>
        </w:rPr>
        <w:br/>
        <w:t>Ensures professional expertise and evaluation of innovation and technical quality.</w:t>
      </w:r>
    </w:p>
    <w:p w14:paraId="67E8BB3E" w14:textId="77777777" w:rsidR="002033EF" w:rsidRPr="00727DDA" w:rsidRDefault="002033EF" w:rsidP="002033EF">
      <w:pPr>
        <w:numPr>
          <w:ilvl w:val="0"/>
          <w:numId w:val="13"/>
        </w:numPr>
        <w:rPr>
          <w:color w:val="696A6D"/>
          <w:lang w:val="en-GB"/>
        </w:rPr>
      </w:pPr>
      <w:r w:rsidRPr="00727DDA">
        <w:rPr>
          <w:b/>
          <w:bCs/>
          <w:color w:val="696A6D"/>
          <w:lang w:val="en-GB"/>
        </w:rPr>
        <w:t>External representative from a relevant industry or sector</w:t>
      </w:r>
      <w:r w:rsidRPr="00727DDA">
        <w:rPr>
          <w:color w:val="696A6D"/>
          <w:lang w:val="en-GB"/>
        </w:rPr>
        <w:br/>
        <w:t>Provides practical assessments of value creation, commercialization potential, and industry relevance.</w:t>
      </w:r>
    </w:p>
    <w:p w14:paraId="66643394" w14:textId="77777777" w:rsidR="002033EF" w:rsidRPr="00727DDA" w:rsidRDefault="002033EF" w:rsidP="002033EF">
      <w:pPr>
        <w:numPr>
          <w:ilvl w:val="0"/>
          <w:numId w:val="13"/>
        </w:numPr>
        <w:rPr>
          <w:color w:val="696A6D"/>
          <w:lang w:val="en-GB"/>
        </w:rPr>
      </w:pPr>
      <w:r w:rsidRPr="00727DDA">
        <w:rPr>
          <w:b/>
          <w:bCs/>
          <w:color w:val="696A6D"/>
          <w:lang w:val="en-GB"/>
        </w:rPr>
        <w:t>Board member from Nemko Group AS</w:t>
      </w:r>
      <w:r w:rsidRPr="00727DDA">
        <w:rPr>
          <w:color w:val="696A6D"/>
          <w:lang w:val="en-GB"/>
        </w:rPr>
        <w:br/>
        <w:t>Contributes to alignment between the fund’s support and the group’s long-term strategy and market position.</w:t>
      </w:r>
    </w:p>
    <w:p w14:paraId="6F7629BC" w14:textId="74B14C1A" w:rsidR="002033EF" w:rsidRPr="00727DDA" w:rsidRDefault="002033EF" w:rsidP="002033EF">
      <w:pPr>
        <w:rPr>
          <w:color w:val="696A6D"/>
          <w:lang w:val="en-GB"/>
        </w:rPr>
      </w:pPr>
      <w:r w:rsidRPr="00727DDA">
        <w:rPr>
          <w:color w:val="696A6D"/>
          <w:lang w:val="en-GB"/>
        </w:rPr>
        <w:t>This committee ensures a balanced, professionally strong, and objective evaluation of applications by maintaining transparency, integrity, and independence in the decision-making process.</w:t>
      </w:r>
    </w:p>
    <w:p w14:paraId="00804E58" w14:textId="044CCA0B" w:rsidR="002033EF" w:rsidRPr="00727DDA" w:rsidRDefault="002033EF" w:rsidP="002033EF">
      <w:pPr>
        <w:rPr>
          <w:i/>
          <w:iCs/>
          <w:color w:val="696A6D"/>
          <w:lang w:val="en-GB"/>
        </w:rPr>
      </w:pPr>
      <w:r w:rsidRPr="00727DDA">
        <w:rPr>
          <w:color w:val="696A6D"/>
          <w:lang w:val="en-GB"/>
        </w:rPr>
        <w:t xml:space="preserve">Members are appointed for a two-year term, and the committee is chaired by the representative from </w:t>
      </w:r>
      <w:proofErr w:type="spellStart"/>
      <w:r w:rsidRPr="00727DDA">
        <w:rPr>
          <w:i/>
          <w:iCs/>
          <w:color w:val="696A6D"/>
          <w:lang w:val="en-GB"/>
        </w:rPr>
        <w:t>Stiftelsen</w:t>
      </w:r>
      <w:proofErr w:type="spellEnd"/>
      <w:r w:rsidRPr="00727DDA">
        <w:rPr>
          <w:i/>
          <w:iCs/>
          <w:color w:val="696A6D"/>
          <w:lang w:val="en-GB"/>
        </w:rPr>
        <w:t xml:space="preserve"> </w:t>
      </w:r>
      <w:proofErr w:type="spellStart"/>
      <w:r w:rsidRPr="00727DDA">
        <w:rPr>
          <w:i/>
          <w:iCs/>
          <w:color w:val="696A6D"/>
          <w:lang w:val="en-GB"/>
        </w:rPr>
        <w:t>Norges</w:t>
      </w:r>
      <w:proofErr w:type="spellEnd"/>
      <w:r w:rsidRPr="00727DDA">
        <w:rPr>
          <w:i/>
          <w:iCs/>
          <w:color w:val="696A6D"/>
          <w:lang w:val="en-GB"/>
        </w:rPr>
        <w:t xml:space="preserve"> </w:t>
      </w:r>
      <w:proofErr w:type="spellStart"/>
      <w:r w:rsidRPr="00727DDA">
        <w:rPr>
          <w:i/>
          <w:iCs/>
          <w:color w:val="696A6D"/>
          <w:lang w:val="en-GB"/>
        </w:rPr>
        <w:t>Elektriske</w:t>
      </w:r>
      <w:proofErr w:type="spellEnd"/>
      <w:r w:rsidRPr="00727DDA">
        <w:rPr>
          <w:i/>
          <w:iCs/>
          <w:color w:val="696A6D"/>
          <w:lang w:val="en-GB"/>
        </w:rPr>
        <w:t xml:space="preserve"> </w:t>
      </w:r>
      <w:proofErr w:type="spellStart"/>
      <w:r w:rsidRPr="00727DDA">
        <w:rPr>
          <w:i/>
          <w:iCs/>
          <w:color w:val="696A6D"/>
          <w:lang w:val="en-GB"/>
        </w:rPr>
        <w:t>Materiellkontroll</w:t>
      </w:r>
      <w:proofErr w:type="spellEnd"/>
      <w:r w:rsidRPr="00727DDA">
        <w:rPr>
          <w:i/>
          <w:iCs/>
          <w:color w:val="696A6D"/>
          <w:lang w:val="en-GB"/>
        </w:rPr>
        <w:t xml:space="preserve"> (NEMKO).</w:t>
      </w:r>
    </w:p>
    <w:p w14:paraId="2D1BB0D9" w14:textId="0B4566AA" w:rsidR="002033EF" w:rsidRPr="00727DDA" w:rsidRDefault="002033EF" w:rsidP="002033EF">
      <w:pPr>
        <w:rPr>
          <w:color w:val="696A6D"/>
          <w:lang w:val="en-GB"/>
        </w:rPr>
      </w:pPr>
      <w:r w:rsidRPr="00727DDA">
        <w:rPr>
          <w:color w:val="696A6D"/>
          <w:lang w:val="en-GB"/>
        </w:rPr>
        <w:t>Members may be reappointed but should be considered for replacement after two to three terms.</w:t>
      </w:r>
    </w:p>
    <w:p w14:paraId="7EC72A51" w14:textId="77777777" w:rsidR="00727DDA" w:rsidRDefault="00727DDA" w:rsidP="002033EF">
      <w:pPr>
        <w:rPr>
          <w:b/>
          <w:bCs/>
          <w:lang w:val="en-GB"/>
        </w:rPr>
        <w:sectPr w:rsidR="00727DDA" w:rsidSect="00727DDA">
          <w:type w:val="continuous"/>
          <w:pgSz w:w="11906" w:h="16838"/>
          <w:pgMar w:top="2700" w:right="851" w:bottom="1418" w:left="851" w:header="709" w:footer="709" w:gutter="0"/>
          <w:cols w:num="2" w:space="708"/>
          <w:docGrid w:linePitch="360"/>
        </w:sectPr>
      </w:pPr>
    </w:p>
    <w:p w14:paraId="150B4DE9" w14:textId="38219EE1" w:rsidR="009269DC" w:rsidRPr="002033EF" w:rsidRDefault="009269DC" w:rsidP="002033EF">
      <w:pPr>
        <w:rPr>
          <w:b/>
          <w:bCs/>
          <w:lang w:val="en-GB"/>
        </w:rPr>
      </w:pPr>
      <w:r w:rsidRPr="002033EF">
        <w:rPr>
          <w:b/>
          <w:bCs/>
          <w:lang w:val="en-GB"/>
        </w:rPr>
        <w:br w:type="page"/>
      </w:r>
    </w:p>
    <w:p w14:paraId="6DB897DE" w14:textId="7EA5C9C0" w:rsidR="009269DC" w:rsidRPr="006B559D" w:rsidRDefault="009269DC" w:rsidP="009269DC">
      <w:pPr>
        <w:pStyle w:val="Heading1"/>
        <w:rPr>
          <w:lang w:val="nb-NO"/>
        </w:rPr>
      </w:pPr>
      <w:bookmarkStart w:id="8" w:name="_Toc212534919"/>
      <w:r w:rsidRPr="466E228B">
        <w:rPr>
          <w:lang w:val="nb-NO"/>
        </w:rPr>
        <w:lastRenderedPageBreak/>
        <w:t>Habilitet</w:t>
      </w:r>
      <w:r w:rsidR="00452CCA">
        <w:rPr>
          <w:lang w:val="nb-NO"/>
        </w:rPr>
        <w:t xml:space="preserve"> | </w:t>
      </w:r>
      <w:r w:rsidR="006C5E8D">
        <w:rPr>
          <w:lang w:val="nb-NO"/>
        </w:rPr>
        <w:t>Conflict of interest</w:t>
      </w:r>
      <w:bookmarkEnd w:id="8"/>
    </w:p>
    <w:p w14:paraId="5DA710A4" w14:textId="77777777" w:rsidR="009269DC" w:rsidRDefault="009269DC" w:rsidP="009269DC">
      <w:pPr>
        <w:spacing w:before="120" w:after="160"/>
        <w:rPr>
          <w:rFonts w:ascii="Aptos" w:eastAsia="Aptos" w:hAnsi="Aptos" w:cs="Aptos"/>
          <w:color w:val="696A6D"/>
          <w:lang w:val="nb-NO"/>
        </w:rPr>
      </w:pPr>
    </w:p>
    <w:p w14:paraId="75C7AB71" w14:textId="77777777" w:rsidR="007344C3" w:rsidRDefault="007344C3" w:rsidP="009269DC">
      <w:pPr>
        <w:spacing w:before="120" w:after="160"/>
        <w:rPr>
          <w:rFonts w:ascii="Aptos" w:eastAsia="Aptos" w:hAnsi="Aptos" w:cs="Aptos"/>
          <w:color w:val="000000" w:themeColor="text1"/>
          <w:lang w:val="nb-NO"/>
        </w:rPr>
        <w:sectPr w:rsidR="007344C3" w:rsidSect="007618AB">
          <w:type w:val="continuous"/>
          <w:pgSz w:w="11906" w:h="16838"/>
          <w:pgMar w:top="2700" w:right="851" w:bottom="1418" w:left="851" w:header="709" w:footer="709" w:gutter="0"/>
          <w:cols w:space="708"/>
          <w:docGrid w:linePitch="360"/>
        </w:sectPr>
      </w:pPr>
    </w:p>
    <w:p w14:paraId="6D363A1E" w14:textId="77777777" w:rsidR="009269DC" w:rsidRPr="006C5E8D" w:rsidRDefault="009269DC" w:rsidP="009269DC">
      <w:pPr>
        <w:spacing w:before="120" w:after="160"/>
        <w:rPr>
          <w:rFonts w:ascii="Aptos" w:eastAsia="Aptos" w:hAnsi="Aptos" w:cs="Aptos"/>
          <w:color w:val="696A6D"/>
          <w:lang w:val="nb-NO"/>
        </w:rPr>
      </w:pPr>
      <w:r w:rsidRPr="006C5E8D">
        <w:rPr>
          <w:rFonts w:ascii="Aptos" w:eastAsia="Aptos" w:hAnsi="Aptos" w:cs="Aptos"/>
          <w:color w:val="696A6D"/>
          <w:lang w:val="nb-NO"/>
        </w:rPr>
        <w:t>Dersom det i en sak er tvil om habiliteten til et medlem av Tildelingsgruppen vil vedkommende anses å være inhabil.</w:t>
      </w:r>
    </w:p>
    <w:p w14:paraId="5460893B" w14:textId="77777777" w:rsidR="009269DC" w:rsidRPr="006C5E8D" w:rsidRDefault="009269DC" w:rsidP="009269DC">
      <w:pPr>
        <w:rPr>
          <w:rFonts w:ascii="Aptos" w:eastAsia="Aptos" w:hAnsi="Aptos" w:cs="Aptos"/>
          <w:color w:val="696A6D"/>
          <w:lang w:val="nb-NO"/>
        </w:rPr>
      </w:pPr>
      <w:r w:rsidRPr="006C5E8D">
        <w:rPr>
          <w:color w:val="696A6D"/>
          <w:lang w:val="nb-NO"/>
        </w:rPr>
        <w:t xml:space="preserve">Medlemmer i tildelingsgruppen kan ikke motta støtte fra fondet. </w:t>
      </w:r>
      <w:r w:rsidRPr="006C5E8D">
        <w:rPr>
          <w:rFonts w:ascii="Aptos" w:eastAsia="Aptos" w:hAnsi="Aptos" w:cs="Aptos"/>
          <w:color w:val="696A6D"/>
          <w:lang w:val="nb-NO"/>
        </w:rPr>
        <w:t>Det samme gjelder for selskaper der medlemmet er aksjonær.</w:t>
      </w:r>
    </w:p>
    <w:p w14:paraId="167D91D9" w14:textId="77777777" w:rsidR="009269DC" w:rsidRPr="006C5E8D" w:rsidRDefault="009269DC" w:rsidP="009269DC">
      <w:pPr>
        <w:rPr>
          <w:color w:val="696A6D"/>
          <w:lang w:val="nb-NO"/>
        </w:rPr>
      </w:pPr>
      <w:r w:rsidRPr="006C5E8D">
        <w:rPr>
          <w:color w:val="696A6D"/>
          <w:lang w:val="nb-NO"/>
        </w:rPr>
        <w:t>I tilfeller der medlemmer er nærstående til søker eller prosjektet det søkes om støtte til, kan medlemmet ikke delta i avstemming om tildeling.  Medlemmet kan imidlertid delta i diskusjoner og presentasjoner av prosjektet.</w:t>
      </w:r>
    </w:p>
    <w:p w14:paraId="6A50FD82" w14:textId="77777777" w:rsidR="009269DC" w:rsidRPr="006C5E8D" w:rsidRDefault="009269DC" w:rsidP="009269DC">
      <w:pPr>
        <w:rPr>
          <w:color w:val="696A6D"/>
          <w:lang w:val="nb-NO"/>
        </w:rPr>
      </w:pPr>
      <w:r w:rsidRPr="006C5E8D">
        <w:rPr>
          <w:color w:val="696A6D"/>
          <w:lang w:val="nb-NO"/>
        </w:rPr>
        <w:t xml:space="preserve">Hvis et medlem har personlige eller kommersielle interesser i søkers prosjektsøknad så vil dette regnes som inhabilitet.  </w:t>
      </w:r>
    </w:p>
    <w:p w14:paraId="401A4F99" w14:textId="77777777" w:rsidR="009269DC" w:rsidRPr="006C5E8D" w:rsidRDefault="009269DC" w:rsidP="009269DC">
      <w:pPr>
        <w:rPr>
          <w:color w:val="696A6D"/>
          <w:lang w:val="nb-NO"/>
        </w:rPr>
      </w:pPr>
      <w:r w:rsidRPr="006C5E8D">
        <w:rPr>
          <w:color w:val="696A6D"/>
          <w:lang w:val="nb-NO"/>
        </w:rPr>
        <w:t>Leder har dobbeltstemme ved stemmelikhet, enten dette skyldes inhabilitet eller annet.</w:t>
      </w:r>
    </w:p>
    <w:p w14:paraId="597E09DD" w14:textId="77777777" w:rsidR="002033EF" w:rsidRPr="006C5E8D" w:rsidRDefault="002033EF" w:rsidP="009269DC">
      <w:pPr>
        <w:rPr>
          <w:color w:val="696A6D"/>
          <w:lang w:val="nb-NO"/>
        </w:rPr>
      </w:pPr>
    </w:p>
    <w:p w14:paraId="5947F659" w14:textId="5C389F05" w:rsidR="002033EF" w:rsidRPr="006C5E8D" w:rsidRDefault="002033EF" w:rsidP="009269DC">
      <w:pPr>
        <w:rPr>
          <w:color w:val="696A6D"/>
        </w:rPr>
      </w:pPr>
      <w:r w:rsidRPr="006C5E8D">
        <w:rPr>
          <w:color w:val="696A6D"/>
        </w:rPr>
        <w:t xml:space="preserve">If there is any doubt regarding a member’s impartiality </w:t>
      </w:r>
      <w:proofErr w:type="gramStart"/>
      <w:r w:rsidRPr="006C5E8D">
        <w:rPr>
          <w:color w:val="696A6D"/>
        </w:rPr>
        <w:t>in a given</w:t>
      </w:r>
      <w:proofErr w:type="gramEnd"/>
      <w:r w:rsidRPr="006C5E8D">
        <w:rPr>
          <w:color w:val="696A6D"/>
        </w:rPr>
        <w:t xml:space="preserve"> case, that member shall be considered disqualified.</w:t>
      </w:r>
    </w:p>
    <w:p w14:paraId="2B684D79" w14:textId="7C5D0A61" w:rsidR="002033EF" w:rsidRPr="006C5E8D" w:rsidRDefault="002033EF" w:rsidP="009269DC">
      <w:pPr>
        <w:rPr>
          <w:color w:val="696A6D"/>
        </w:rPr>
      </w:pPr>
      <w:r w:rsidRPr="006C5E8D">
        <w:rPr>
          <w:color w:val="696A6D"/>
        </w:rPr>
        <w:t>Members of the allocation committee may not receive allocations from the fund. The same applies to companies in which the member holds shares.</w:t>
      </w:r>
    </w:p>
    <w:p w14:paraId="5423AC39" w14:textId="29E28D77" w:rsidR="002033EF" w:rsidRPr="006C5E8D" w:rsidRDefault="002033EF" w:rsidP="009269DC">
      <w:pPr>
        <w:rPr>
          <w:color w:val="696A6D"/>
        </w:rPr>
      </w:pPr>
      <w:r w:rsidRPr="006C5E8D">
        <w:rPr>
          <w:color w:val="696A6D"/>
        </w:rPr>
        <w:t xml:space="preserve">In cases where members are closely related to the applicant or the project applying for allocations, the member may not participate in the voting on the allocation. However, the </w:t>
      </w:r>
      <w:proofErr w:type="gramStart"/>
      <w:r w:rsidRPr="006C5E8D">
        <w:rPr>
          <w:color w:val="696A6D"/>
        </w:rPr>
        <w:t>member</w:t>
      </w:r>
      <w:proofErr w:type="gramEnd"/>
      <w:r w:rsidRPr="006C5E8D">
        <w:rPr>
          <w:color w:val="696A6D"/>
        </w:rPr>
        <w:t xml:space="preserve"> may take part in discussions and presentations of the project.</w:t>
      </w:r>
    </w:p>
    <w:p w14:paraId="32ACFDC6" w14:textId="77777777" w:rsidR="002033EF" w:rsidRPr="006C5E8D" w:rsidRDefault="002033EF" w:rsidP="009269DC">
      <w:pPr>
        <w:rPr>
          <w:color w:val="696A6D"/>
        </w:rPr>
      </w:pPr>
      <w:r w:rsidRPr="006C5E8D">
        <w:rPr>
          <w:color w:val="696A6D"/>
        </w:rPr>
        <w:t>If a member has personal or commercial interests in the applicant’s project proposal, this will be considered a conflict of interest.</w:t>
      </w:r>
    </w:p>
    <w:p w14:paraId="578D4B02" w14:textId="5C57E304" w:rsidR="002033EF" w:rsidRPr="006C5E8D" w:rsidRDefault="002033EF" w:rsidP="009269DC">
      <w:pPr>
        <w:rPr>
          <w:color w:val="696A6D"/>
          <w:lang w:val="en-GB"/>
        </w:rPr>
      </w:pPr>
      <w:r w:rsidRPr="006C5E8D">
        <w:rPr>
          <w:color w:val="696A6D"/>
        </w:rPr>
        <w:t>The chair holds a casting vote in the event of a tie, whether caused by disqualification or other reasons.</w:t>
      </w:r>
    </w:p>
    <w:p w14:paraId="0808FF59" w14:textId="77777777" w:rsidR="006C5E8D" w:rsidRDefault="006C5E8D" w:rsidP="009269DC">
      <w:pPr>
        <w:rPr>
          <w:lang w:val="en-GB"/>
        </w:rPr>
        <w:sectPr w:rsidR="006C5E8D" w:rsidSect="006C5E8D">
          <w:type w:val="continuous"/>
          <w:pgSz w:w="11906" w:h="16838"/>
          <w:pgMar w:top="2700" w:right="851" w:bottom="1418" w:left="851" w:header="709" w:footer="709" w:gutter="0"/>
          <w:cols w:num="2" w:space="708"/>
          <w:docGrid w:linePitch="360"/>
        </w:sectPr>
      </w:pPr>
    </w:p>
    <w:p w14:paraId="7A4D9FA2" w14:textId="69C5DAD9" w:rsidR="009269DC" w:rsidRPr="002033EF" w:rsidRDefault="009269DC" w:rsidP="009269DC">
      <w:pPr>
        <w:rPr>
          <w:lang w:val="en-GB"/>
        </w:rPr>
      </w:pPr>
      <w:r w:rsidRPr="002033EF">
        <w:rPr>
          <w:lang w:val="en-GB"/>
        </w:rPr>
        <w:br w:type="page"/>
      </w:r>
    </w:p>
    <w:p w14:paraId="765EAE12" w14:textId="12E3C1BA" w:rsidR="009269DC" w:rsidRPr="0012639B" w:rsidRDefault="009269DC" w:rsidP="0012639B">
      <w:pPr>
        <w:pStyle w:val="Heading1"/>
        <w:rPr>
          <w:lang w:val="en-GB"/>
        </w:rPr>
      </w:pPr>
      <w:bookmarkStart w:id="9" w:name="_Toc212534920"/>
      <w:r w:rsidRPr="007344C3">
        <w:rPr>
          <w:lang w:val="en-GB"/>
        </w:rPr>
        <w:lastRenderedPageBreak/>
        <w:t>Taushetserklæring og hemmelighold</w:t>
      </w:r>
      <w:r w:rsidR="007344C3" w:rsidRPr="007344C3">
        <w:rPr>
          <w:lang w:val="en-GB"/>
        </w:rPr>
        <w:t xml:space="preserve"> | Confidentiality </w:t>
      </w:r>
      <w:r w:rsidR="005B6AB2">
        <w:rPr>
          <w:lang w:val="en-GB"/>
        </w:rPr>
        <w:t>a</w:t>
      </w:r>
      <w:r w:rsidR="007344C3" w:rsidRPr="007344C3">
        <w:rPr>
          <w:lang w:val="en-GB"/>
        </w:rPr>
        <w:t>greement and Non-</w:t>
      </w:r>
      <w:r w:rsidR="005B6AB2">
        <w:rPr>
          <w:lang w:val="en-GB"/>
        </w:rPr>
        <w:t>d</w:t>
      </w:r>
      <w:r w:rsidR="007344C3" w:rsidRPr="007344C3">
        <w:rPr>
          <w:lang w:val="en-GB"/>
        </w:rPr>
        <w:t>isclosure</w:t>
      </w:r>
      <w:bookmarkEnd w:id="9"/>
    </w:p>
    <w:p w14:paraId="6C40C31F" w14:textId="77777777" w:rsidR="007344C3" w:rsidRPr="00B46446" w:rsidRDefault="007344C3" w:rsidP="009269DC">
      <w:pPr>
        <w:spacing w:before="120" w:after="160"/>
        <w:rPr>
          <w:rFonts w:ascii="Aptos" w:eastAsia="Aptos" w:hAnsi="Aptos" w:cs="Aptos"/>
          <w:color w:val="696A6D"/>
          <w:lang w:val="en-GB"/>
        </w:rPr>
      </w:pPr>
    </w:p>
    <w:p w14:paraId="02B673B5" w14:textId="77777777" w:rsidR="007344C3" w:rsidRPr="00B46446" w:rsidRDefault="007344C3" w:rsidP="009269DC">
      <w:pPr>
        <w:spacing w:before="120" w:after="160"/>
        <w:rPr>
          <w:rFonts w:ascii="Aptos" w:eastAsia="Aptos" w:hAnsi="Aptos" w:cs="Aptos"/>
          <w:color w:val="696A6D"/>
          <w:lang w:val="en-GB"/>
        </w:rPr>
        <w:sectPr w:rsidR="007344C3" w:rsidRPr="00B46446" w:rsidSect="007618AB">
          <w:type w:val="continuous"/>
          <w:pgSz w:w="11906" w:h="16838"/>
          <w:pgMar w:top="2700" w:right="851" w:bottom="1418" w:left="851" w:header="709" w:footer="709" w:gutter="0"/>
          <w:cols w:space="708"/>
          <w:docGrid w:linePitch="360"/>
        </w:sectPr>
      </w:pPr>
    </w:p>
    <w:p w14:paraId="2948CE98" w14:textId="77777777" w:rsidR="009269DC" w:rsidRDefault="009269DC" w:rsidP="009269DC">
      <w:pPr>
        <w:spacing w:before="120" w:after="160"/>
        <w:rPr>
          <w:rFonts w:ascii="Aptos" w:eastAsia="Aptos" w:hAnsi="Aptos" w:cs="Aptos"/>
          <w:color w:val="696A6D"/>
          <w:lang w:val="nb-NO"/>
        </w:rPr>
      </w:pPr>
      <w:r w:rsidRPr="051B22EE">
        <w:rPr>
          <w:rFonts w:ascii="Aptos" w:eastAsia="Aptos" w:hAnsi="Aptos" w:cs="Aptos"/>
          <w:color w:val="696A6D"/>
          <w:lang w:val="nb-NO"/>
        </w:rPr>
        <w:t>Nemko, og dermed også Nemkofondet lever av tillit.</w:t>
      </w:r>
    </w:p>
    <w:p w14:paraId="692A5FFA" w14:textId="77777777" w:rsidR="009269DC" w:rsidRDefault="009269DC" w:rsidP="009269DC">
      <w:pPr>
        <w:spacing w:before="120" w:after="160"/>
        <w:rPr>
          <w:rFonts w:ascii="Aptos" w:eastAsia="Aptos" w:hAnsi="Aptos" w:cs="Aptos"/>
          <w:color w:val="696A6D"/>
          <w:lang w:val="nb-NO"/>
        </w:rPr>
      </w:pPr>
      <w:r w:rsidRPr="466E228B">
        <w:rPr>
          <w:rFonts w:ascii="Aptos" w:eastAsia="Aptos" w:hAnsi="Aptos" w:cs="Aptos"/>
          <w:color w:val="696A6D"/>
          <w:lang w:val="nb-NO"/>
        </w:rPr>
        <w:t>Alle medlemmer i Tildelingsgruppen forplikter taushet om forretningskritisk informasjon som gis i en søknadsprosess eller i en informasjonsutveksling.</w:t>
      </w:r>
    </w:p>
    <w:p w14:paraId="19B0F3F5" w14:textId="77777777" w:rsidR="009269DC" w:rsidRDefault="009269DC" w:rsidP="009269DC">
      <w:pPr>
        <w:spacing w:before="120" w:after="160"/>
        <w:rPr>
          <w:rFonts w:ascii="Aptos" w:eastAsia="Aptos" w:hAnsi="Aptos" w:cs="Aptos"/>
          <w:color w:val="696A6D"/>
          <w:lang w:val="nb-NO"/>
        </w:rPr>
      </w:pPr>
      <w:r w:rsidRPr="466E228B">
        <w:rPr>
          <w:rFonts w:ascii="Aptos" w:eastAsia="Aptos" w:hAnsi="Aptos" w:cs="Aptos"/>
          <w:color w:val="696A6D"/>
          <w:lang w:val="nb-NO"/>
        </w:rPr>
        <w:t xml:space="preserve">Innkommende søknader er konfidensielle innenfor Tildelingsgruppen, og vil bli tilgjengeliggjort kun for denne gruppens medlemmer. Søkerens identitet og en kort prosjektbeskrivelse vil bli tatt vare på og gjort offentlig tilgjengelig. Denne informasjonen er derfor unntatt regelen om hemmelighold.  </w:t>
      </w:r>
    </w:p>
    <w:p w14:paraId="348BB454" w14:textId="77777777" w:rsidR="009269DC" w:rsidRDefault="009269DC" w:rsidP="009269DC">
      <w:pPr>
        <w:spacing w:before="120" w:after="120"/>
        <w:rPr>
          <w:rFonts w:ascii="Aptos" w:eastAsia="Aptos" w:hAnsi="Aptos" w:cs="Aptos"/>
          <w:color w:val="696A6D"/>
          <w:lang w:val="nb-NO"/>
        </w:rPr>
      </w:pPr>
      <w:r w:rsidRPr="466E228B">
        <w:rPr>
          <w:rFonts w:ascii="Aptos" w:eastAsia="Aptos" w:hAnsi="Aptos" w:cs="Aptos"/>
          <w:color w:val="696A6D"/>
          <w:lang w:val="nb-NO"/>
        </w:rPr>
        <w:t>I situasjoner der Tildelingsgruppen kan komme til å ta imot forretningssensitiv informasjon ved at det søkes om midler til et prosjekt eller en produktutviklingsprosess, vises det til ISO-sertifiseringen i Nemko Group der hemmelighold og taushet er regulert. Medlemmer i Tildelingsgruppen følger tilsvarende retningslinjer og praksis.</w:t>
      </w:r>
    </w:p>
    <w:p w14:paraId="6E91C870" w14:textId="26001C40" w:rsidR="009269DC" w:rsidRDefault="009269DC" w:rsidP="009269DC">
      <w:pPr>
        <w:rPr>
          <w:lang w:val="nb-NO"/>
        </w:rPr>
      </w:pPr>
    </w:p>
    <w:p w14:paraId="7E790A20" w14:textId="77777777" w:rsidR="007344C3" w:rsidRPr="00DF48B9" w:rsidRDefault="005A56DB" w:rsidP="005A56DB">
      <w:pPr>
        <w:rPr>
          <w:color w:val="696A6D"/>
          <w:lang w:val="nb-NO"/>
        </w:rPr>
      </w:pPr>
      <w:r w:rsidRPr="00DF48B9">
        <w:rPr>
          <w:color w:val="696A6D"/>
          <w:lang w:val="nb-NO"/>
        </w:rPr>
        <w:t xml:space="preserve">Nemko, and </w:t>
      </w:r>
      <w:proofErr w:type="spellStart"/>
      <w:r w:rsidRPr="00DF48B9">
        <w:rPr>
          <w:color w:val="696A6D"/>
          <w:lang w:val="nb-NO"/>
        </w:rPr>
        <w:t>therefore</w:t>
      </w:r>
      <w:proofErr w:type="spellEnd"/>
      <w:r w:rsidRPr="00DF48B9">
        <w:rPr>
          <w:color w:val="696A6D"/>
          <w:lang w:val="nb-NO"/>
        </w:rPr>
        <w:t xml:space="preserve"> </w:t>
      </w:r>
      <w:proofErr w:type="spellStart"/>
      <w:r w:rsidRPr="00DF48B9">
        <w:rPr>
          <w:color w:val="696A6D"/>
          <w:lang w:val="nb-NO"/>
        </w:rPr>
        <w:t>also</w:t>
      </w:r>
      <w:proofErr w:type="spellEnd"/>
      <w:r w:rsidRPr="00DF48B9">
        <w:rPr>
          <w:color w:val="696A6D"/>
          <w:lang w:val="nb-NO"/>
        </w:rPr>
        <w:t xml:space="preserve"> Nemkofondet, is </w:t>
      </w:r>
      <w:proofErr w:type="spellStart"/>
      <w:r w:rsidRPr="00DF48B9">
        <w:rPr>
          <w:color w:val="696A6D"/>
          <w:lang w:val="nb-NO"/>
        </w:rPr>
        <w:t>built</w:t>
      </w:r>
      <w:proofErr w:type="spellEnd"/>
      <w:r w:rsidRPr="00DF48B9">
        <w:rPr>
          <w:color w:val="696A6D"/>
          <w:lang w:val="nb-NO"/>
        </w:rPr>
        <w:t xml:space="preserve"> </w:t>
      </w:r>
      <w:proofErr w:type="spellStart"/>
      <w:r w:rsidRPr="00DF48B9">
        <w:rPr>
          <w:color w:val="696A6D"/>
          <w:lang w:val="nb-NO"/>
        </w:rPr>
        <w:t>on</w:t>
      </w:r>
      <w:proofErr w:type="spellEnd"/>
      <w:r w:rsidRPr="00DF48B9">
        <w:rPr>
          <w:color w:val="696A6D"/>
          <w:lang w:val="nb-NO"/>
        </w:rPr>
        <w:t xml:space="preserve"> trust.</w:t>
      </w:r>
    </w:p>
    <w:p w14:paraId="1EECD21C" w14:textId="41AF55BD" w:rsidR="005A56DB" w:rsidRPr="007344C3" w:rsidRDefault="005A56DB" w:rsidP="005A56DB">
      <w:pPr>
        <w:rPr>
          <w:color w:val="696A6D"/>
          <w:lang w:val="en-GB"/>
        </w:rPr>
      </w:pPr>
      <w:r w:rsidRPr="007344C3">
        <w:rPr>
          <w:color w:val="696A6D"/>
          <w:lang w:val="en-GB"/>
        </w:rPr>
        <w:t>All members of the Allocation Committee are bound by confidentiality regarding business-critical information shared during the application process or through any exchange of information.</w:t>
      </w:r>
    </w:p>
    <w:p w14:paraId="7E452F45" w14:textId="3A9EFC09" w:rsidR="005A56DB" w:rsidRPr="007344C3" w:rsidRDefault="005A56DB" w:rsidP="005A56DB">
      <w:pPr>
        <w:rPr>
          <w:color w:val="696A6D"/>
          <w:lang w:val="en-GB"/>
        </w:rPr>
      </w:pPr>
      <w:r w:rsidRPr="007344C3">
        <w:rPr>
          <w:color w:val="696A6D"/>
          <w:lang w:val="en-GB"/>
        </w:rPr>
        <w:t>Incoming applications are confidential within the Allocation Committee and will be accessible only to its members. The applicant’s identity and a brief project description will be retained and made publicly available. This information is therefore exempt from the confidentiality rule.</w:t>
      </w:r>
    </w:p>
    <w:p w14:paraId="3F3365A0" w14:textId="0037C2C9" w:rsidR="005A56DB" w:rsidRPr="007344C3" w:rsidRDefault="005A56DB" w:rsidP="005A56DB">
      <w:pPr>
        <w:rPr>
          <w:color w:val="696A6D"/>
          <w:lang w:val="en-GB"/>
        </w:rPr>
      </w:pPr>
      <w:r w:rsidRPr="007344C3">
        <w:rPr>
          <w:color w:val="696A6D"/>
          <w:lang w:val="en-GB"/>
        </w:rPr>
        <w:t>In situations where the Allocation Committee may receive business-sensitive information as part of an application, reference is made to Nemko Group’s ISO certification, which regulates confidentiality and non-disclosure. Members of the Allocation Committee adhere to the same guidelines and practices.</w:t>
      </w:r>
    </w:p>
    <w:p w14:paraId="2C8186AD" w14:textId="77777777" w:rsidR="007344C3" w:rsidRDefault="007344C3" w:rsidP="009269DC">
      <w:pPr>
        <w:rPr>
          <w:lang w:val="en-GB"/>
        </w:rPr>
        <w:sectPr w:rsidR="007344C3" w:rsidSect="007344C3">
          <w:type w:val="continuous"/>
          <w:pgSz w:w="11906" w:h="16838"/>
          <w:pgMar w:top="2700" w:right="851" w:bottom="1418" w:left="851" w:header="709" w:footer="709" w:gutter="0"/>
          <w:cols w:num="2" w:space="708"/>
          <w:docGrid w:linePitch="360"/>
        </w:sectPr>
      </w:pPr>
    </w:p>
    <w:p w14:paraId="37878718" w14:textId="77777777" w:rsidR="002033EF" w:rsidRPr="005A56DB" w:rsidRDefault="002033EF" w:rsidP="009269DC">
      <w:pPr>
        <w:rPr>
          <w:lang w:val="en-GB"/>
        </w:rPr>
      </w:pPr>
    </w:p>
    <w:p w14:paraId="44572EAE" w14:textId="77777777" w:rsidR="005A56DB" w:rsidRPr="005A56DB" w:rsidRDefault="005A56DB" w:rsidP="009269DC">
      <w:pPr>
        <w:rPr>
          <w:lang w:val="en-GB"/>
        </w:rPr>
      </w:pPr>
    </w:p>
    <w:p w14:paraId="3F0F09EB" w14:textId="77777777" w:rsidR="002033EF" w:rsidRPr="005A56DB" w:rsidRDefault="002033EF" w:rsidP="009269DC">
      <w:pPr>
        <w:rPr>
          <w:lang w:val="en-GB"/>
        </w:rPr>
      </w:pPr>
    </w:p>
    <w:p w14:paraId="71088CD9" w14:textId="77777777" w:rsidR="002033EF" w:rsidRPr="005A56DB" w:rsidRDefault="002033EF" w:rsidP="009269DC">
      <w:pPr>
        <w:rPr>
          <w:lang w:val="en-GB"/>
        </w:rPr>
      </w:pPr>
    </w:p>
    <w:p w14:paraId="69C36D4B" w14:textId="77777777" w:rsidR="009269DC" w:rsidRDefault="009269DC" w:rsidP="009269DC">
      <w:pPr>
        <w:rPr>
          <w:lang w:val="en-GB"/>
        </w:rPr>
      </w:pPr>
    </w:p>
    <w:p w14:paraId="34C29AE5" w14:textId="77777777" w:rsidR="005A56DB" w:rsidRDefault="005A56DB" w:rsidP="009269DC">
      <w:pPr>
        <w:rPr>
          <w:lang w:val="en-GB"/>
        </w:rPr>
      </w:pPr>
    </w:p>
    <w:p w14:paraId="76DC526F" w14:textId="77777777" w:rsidR="005A56DB" w:rsidRDefault="005A56DB" w:rsidP="009269DC">
      <w:pPr>
        <w:rPr>
          <w:lang w:val="en-GB"/>
        </w:rPr>
      </w:pPr>
    </w:p>
    <w:p w14:paraId="7D8E5F72" w14:textId="77777777" w:rsidR="005A56DB" w:rsidRDefault="005A56DB" w:rsidP="009269DC">
      <w:pPr>
        <w:rPr>
          <w:lang w:val="en-GB"/>
        </w:rPr>
      </w:pPr>
    </w:p>
    <w:p w14:paraId="00326ADC" w14:textId="77777777" w:rsidR="00B46446" w:rsidRPr="005A56DB" w:rsidRDefault="00B46446" w:rsidP="009269DC">
      <w:pPr>
        <w:rPr>
          <w:lang w:val="en-GB"/>
        </w:rPr>
      </w:pPr>
    </w:p>
    <w:p w14:paraId="56988A01" w14:textId="77777777" w:rsidR="009269DC" w:rsidRDefault="009269DC" w:rsidP="009269DC">
      <w:pPr>
        <w:rPr>
          <w:lang w:val="en-GB"/>
        </w:rPr>
      </w:pPr>
    </w:p>
    <w:p w14:paraId="340231D5" w14:textId="77777777" w:rsidR="007344C3" w:rsidRPr="00EC0D2A" w:rsidRDefault="007344C3" w:rsidP="009269DC">
      <w:pPr>
        <w:rPr>
          <w:lang w:val="en-GB"/>
        </w:rPr>
      </w:pPr>
    </w:p>
    <w:p w14:paraId="34F31FF5" w14:textId="2B4D166D" w:rsidR="009269DC" w:rsidRPr="00E62D3E" w:rsidRDefault="009269DC" w:rsidP="009269DC">
      <w:pPr>
        <w:pStyle w:val="Heading1"/>
        <w:pBdr>
          <w:top w:val="single" w:sz="24" w:space="0" w:color="156082"/>
          <w:left w:val="single" w:sz="24" w:space="0" w:color="156082"/>
          <w:bottom w:val="single" w:sz="24" w:space="0" w:color="156082"/>
          <w:right w:val="single" w:sz="24" w:space="0" w:color="156082"/>
        </w:pBdr>
        <w:rPr>
          <w:lang w:val="nb-NO"/>
        </w:rPr>
      </w:pPr>
      <w:bookmarkStart w:id="10" w:name="_Toc212534921"/>
      <w:r w:rsidRPr="00E62D3E">
        <w:rPr>
          <w:lang w:val="nb-NO"/>
        </w:rPr>
        <w:lastRenderedPageBreak/>
        <w:t>Informasjon</w:t>
      </w:r>
      <w:r w:rsidR="0012639B">
        <w:rPr>
          <w:lang w:val="nb-NO"/>
        </w:rPr>
        <w:t xml:space="preserve"> | Information</w:t>
      </w:r>
      <w:bookmarkEnd w:id="10"/>
    </w:p>
    <w:p w14:paraId="6E1DBA71" w14:textId="77777777" w:rsidR="009269DC" w:rsidRPr="00E62D3E" w:rsidRDefault="009269DC" w:rsidP="009269DC">
      <w:pPr>
        <w:rPr>
          <w:lang w:val="nb-NO"/>
        </w:rPr>
      </w:pPr>
    </w:p>
    <w:p w14:paraId="415B9D15" w14:textId="77777777" w:rsidR="0012639B" w:rsidRDefault="0012639B" w:rsidP="009269DC">
      <w:pPr>
        <w:spacing w:before="120" w:after="120"/>
        <w:rPr>
          <w:rFonts w:ascii="Aptos" w:eastAsia="Aptos" w:hAnsi="Aptos" w:cs="Aptos"/>
          <w:color w:val="696A6D"/>
          <w:lang w:val="nb-NO"/>
        </w:rPr>
        <w:sectPr w:rsidR="0012639B" w:rsidSect="007618AB">
          <w:type w:val="continuous"/>
          <w:pgSz w:w="11906" w:h="16838"/>
          <w:pgMar w:top="2700" w:right="851" w:bottom="1418" w:left="851" w:header="709" w:footer="709" w:gutter="0"/>
          <w:cols w:space="708"/>
          <w:docGrid w:linePitch="360"/>
        </w:sectPr>
      </w:pPr>
    </w:p>
    <w:p w14:paraId="058662FC" w14:textId="77777777" w:rsidR="009269DC" w:rsidRPr="00E62D3E" w:rsidRDefault="009269DC" w:rsidP="009269DC">
      <w:pPr>
        <w:spacing w:before="120" w:after="120"/>
        <w:rPr>
          <w:rFonts w:ascii="Aptos" w:eastAsia="Aptos" w:hAnsi="Aptos" w:cs="Aptos"/>
          <w:color w:val="696A6D"/>
          <w:lang w:val="nb-NO"/>
        </w:rPr>
      </w:pPr>
      <w:r w:rsidRPr="051B22EE">
        <w:rPr>
          <w:rFonts w:ascii="Aptos" w:eastAsia="Aptos" w:hAnsi="Aptos" w:cs="Aptos"/>
          <w:color w:val="696A6D"/>
          <w:lang w:val="nb-NO"/>
        </w:rPr>
        <w:t xml:space="preserve">Nemkofondet har en egen landingsside under Nemko sin paraply. </w:t>
      </w:r>
    </w:p>
    <w:p w14:paraId="0F90209C" w14:textId="77777777" w:rsidR="009269DC" w:rsidRPr="00E62D3E" w:rsidRDefault="009269DC" w:rsidP="009269DC">
      <w:pPr>
        <w:spacing w:before="120" w:after="120"/>
        <w:rPr>
          <w:rFonts w:ascii="Aptos" w:eastAsia="Aptos" w:hAnsi="Aptos" w:cs="Aptos"/>
          <w:color w:val="696A6D"/>
          <w:lang w:val="nb-NO"/>
        </w:rPr>
      </w:pPr>
      <w:r w:rsidRPr="051B22EE">
        <w:rPr>
          <w:rFonts w:ascii="Aptos" w:eastAsia="Aptos" w:hAnsi="Aptos" w:cs="Aptos"/>
          <w:color w:val="696A6D"/>
          <w:lang w:val="nb-NO"/>
        </w:rPr>
        <w:t xml:space="preserve">Nemko lever av tillit, og anser at det er viktig med transparens i alle prosesser.  Som en del av dette vil </w:t>
      </w:r>
      <w:proofErr w:type="spellStart"/>
      <w:r w:rsidRPr="051B22EE">
        <w:rPr>
          <w:rFonts w:ascii="Aptos" w:eastAsia="Aptos" w:hAnsi="Aptos" w:cs="Aptos"/>
          <w:color w:val="696A6D"/>
          <w:lang w:val="nb-NO"/>
        </w:rPr>
        <w:t>Nemkofondets</w:t>
      </w:r>
      <w:proofErr w:type="spellEnd"/>
      <w:r w:rsidRPr="051B22EE">
        <w:rPr>
          <w:rFonts w:ascii="Aptos" w:eastAsia="Aptos" w:hAnsi="Aptos" w:cs="Aptos"/>
          <w:color w:val="696A6D"/>
          <w:lang w:val="nb-NO"/>
        </w:rPr>
        <w:t xml:space="preserve"> retningslinjer være offentlig tilgjengelige på nettsiden.</w:t>
      </w:r>
    </w:p>
    <w:p w14:paraId="273FC9F4" w14:textId="77777777" w:rsidR="009269DC" w:rsidRPr="00E62D3E" w:rsidRDefault="009269DC" w:rsidP="009269DC">
      <w:pPr>
        <w:spacing w:before="120" w:after="120"/>
        <w:rPr>
          <w:rFonts w:ascii="Aptos" w:eastAsia="Aptos" w:hAnsi="Aptos" w:cs="Aptos"/>
          <w:color w:val="696A6D"/>
          <w:lang w:val="nb-NO"/>
        </w:rPr>
      </w:pPr>
      <w:r w:rsidRPr="00E62D3E">
        <w:rPr>
          <w:rFonts w:ascii="Aptos" w:eastAsia="Aptos" w:hAnsi="Aptos" w:cs="Aptos"/>
          <w:color w:val="696A6D"/>
          <w:lang w:val="nb-NO"/>
        </w:rPr>
        <w:t xml:space="preserve">På fondets hjemmeside legges det ut informasjon om fondet, søknadsprosedyre, kriterier for vurderinger, informasjon om tildelinger, osv. </w:t>
      </w:r>
    </w:p>
    <w:p w14:paraId="553361D7" w14:textId="3A1A1EAB" w:rsidR="009269DC" w:rsidRDefault="009269DC" w:rsidP="009269DC">
      <w:pPr>
        <w:spacing w:before="120" w:after="120"/>
        <w:rPr>
          <w:rFonts w:ascii="Aptos" w:eastAsia="Aptos" w:hAnsi="Aptos" w:cs="Aptos"/>
          <w:color w:val="696A6D"/>
          <w:lang w:val="nb-NO"/>
        </w:rPr>
      </w:pPr>
      <w:r w:rsidRPr="00E62D3E">
        <w:rPr>
          <w:rFonts w:ascii="Aptos" w:eastAsia="Aptos" w:hAnsi="Aptos" w:cs="Aptos"/>
          <w:color w:val="696A6D"/>
          <w:lang w:val="nb-NO"/>
        </w:rPr>
        <w:t>Nettsiden inneholder krav til søknaden, et standardisert søknadsskjema, og informasjon om krav til dokumentasjon.</w:t>
      </w:r>
    </w:p>
    <w:p w14:paraId="489303C0" w14:textId="77777777" w:rsidR="00DF4688" w:rsidRDefault="00DF4688" w:rsidP="009269DC">
      <w:pPr>
        <w:spacing w:before="120" w:after="120"/>
        <w:rPr>
          <w:rFonts w:ascii="Aptos" w:eastAsia="Aptos" w:hAnsi="Aptos" w:cs="Aptos"/>
          <w:color w:val="696A6D"/>
          <w:lang w:val="nb-NO"/>
        </w:rPr>
      </w:pPr>
    </w:p>
    <w:p w14:paraId="4358ABE1" w14:textId="77777777" w:rsidR="0012639B" w:rsidRDefault="00DF4688" w:rsidP="00DF4688">
      <w:pPr>
        <w:spacing w:before="120" w:after="120"/>
        <w:rPr>
          <w:rFonts w:ascii="Aptos" w:eastAsia="Aptos" w:hAnsi="Aptos" w:cs="Aptos"/>
          <w:color w:val="696A6D"/>
          <w:lang w:val="en-GB"/>
        </w:rPr>
      </w:pPr>
      <w:r>
        <w:rPr>
          <w:rFonts w:ascii="Aptos" w:eastAsia="Aptos" w:hAnsi="Aptos" w:cs="Aptos"/>
          <w:color w:val="696A6D"/>
          <w:lang w:val="en-GB"/>
        </w:rPr>
        <w:t>Nemkofondet</w:t>
      </w:r>
      <w:r w:rsidRPr="00DF4688">
        <w:rPr>
          <w:rFonts w:ascii="Aptos" w:eastAsia="Aptos" w:hAnsi="Aptos" w:cs="Aptos"/>
          <w:color w:val="696A6D"/>
          <w:lang w:val="en-GB"/>
        </w:rPr>
        <w:t xml:space="preserve"> has its own landing page under the Nemko umbrella.</w:t>
      </w:r>
    </w:p>
    <w:p w14:paraId="108E57CE" w14:textId="7C7F8686" w:rsidR="00DF4688" w:rsidRPr="00DF4688" w:rsidRDefault="00DF4688" w:rsidP="00DF4688">
      <w:pPr>
        <w:spacing w:before="120" w:after="120"/>
        <w:rPr>
          <w:rFonts w:ascii="Aptos" w:eastAsia="Aptos" w:hAnsi="Aptos" w:cs="Aptos"/>
          <w:color w:val="696A6D"/>
          <w:lang w:val="en-GB"/>
        </w:rPr>
      </w:pPr>
      <w:r w:rsidRPr="00DF4688">
        <w:rPr>
          <w:rFonts w:ascii="Aptos" w:eastAsia="Aptos" w:hAnsi="Aptos" w:cs="Aptos"/>
          <w:color w:val="696A6D"/>
          <w:lang w:val="en-GB"/>
        </w:rPr>
        <w:t xml:space="preserve">Nemko is built on trust and considers transparency in all processes to be essential. As part of this commitment, the </w:t>
      </w:r>
      <w:proofErr w:type="spellStart"/>
      <w:r w:rsidRPr="00DF4688">
        <w:rPr>
          <w:rFonts w:ascii="Aptos" w:eastAsia="Aptos" w:hAnsi="Aptos" w:cs="Aptos"/>
          <w:color w:val="696A6D"/>
          <w:lang w:val="en-GB"/>
        </w:rPr>
        <w:t>Nemko</w:t>
      </w:r>
      <w:r>
        <w:rPr>
          <w:rFonts w:ascii="Aptos" w:eastAsia="Aptos" w:hAnsi="Aptos" w:cs="Aptos"/>
          <w:color w:val="696A6D"/>
          <w:lang w:val="en-GB"/>
        </w:rPr>
        <w:t>fondet</w:t>
      </w:r>
      <w:r w:rsidRPr="00DF4688">
        <w:rPr>
          <w:rFonts w:ascii="Aptos" w:eastAsia="Aptos" w:hAnsi="Aptos" w:cs="Aptos"/>
          <w:color w:val="696A6D"/>
          <w:lang w:val="en-GB"/>
        </w:rPr>
        <w:t>’s</w:t>
      </w:r>
      <w:proofErr w:type="spellEnd"/>
      <w:r w:rsidRPr="00DF4688">
        <w:rPr>
          <w:rFonts w:ascii="Aptos" w:eastAsia="Aptos" w:hAnsi="Aptos" w:cs="Aptos"/>
          <w:color w:val="696A6D"/>
          <w:lang w:val="en-GB"/>
        </w:rPr>
        <w:t xml:space="preserve"> guidelines will be made publicly available on the web</w:t>
      </w:r>
      <w:r>
        <w:rPr>
          <w:rFonts w:ascii="Aptos" w:eastAsia="Aptos" w:hAnsi="Aptos" w:cs="Aptos"/>
          <w:color w:val="696A6D"/>
          <w:lang w:val="en-GB"/>
        </w:rPr>
        <w:t xml:space="preserve"> page</w:t>
      </w:r>
      <w:r w:rsidRPr="00DF4688">
        <w:rPr>
          <w:rFonts w:ascii="Aptos" w:eastAsia="Aptos" w:hAnsi="Aptos" w:cs="Aptos"/>
          <w:color w:val="696A6D"/>
          <w:lang w:val="en-GB"/>
        </w:rPr>
        <w:t>.</w:t>
      </w:r>
    </w:p>
    <w:p w14:paraId="3628A8E2" w14:textId="4AADF75B" w:rsidR="00DF4688" w:rsidRDefault="00DF4688" w:rsidP="00DF4688">
      <w:pPr>
        <w:spacing w:before="120" w:after="120"/>
        <w:rPr>
          <w:rFonts w:ascii="Aptos" w:eastAsia="Aptos" w:hAnsi="Aptos" w:cs="Aptos"/>
          <w:color w:val="696A6D"/>
          <w:lang w:val="en-GB"/>
        </w:rPr>
      </w:pPr>
      <w:proofErr w:type="spellStart"/>
      <w:r>
        <w:rPr>
          <w:rFonts w:ascii="Aptos" w:eastAsia="Aptos" w:hAnsi="Aptos" w:cs="Aptos"/>
          <w:color w:val="696A6D"/>
          <w:lang w:val="en-GB"/>
        </w:rPr>
        <w:t>Nemkofondet’s</w:t>
      </w:r>
      <w:proofErr w:type="spellEnd"/>
      <w:r w:rsidRPr="00DF4688">
        <w:rPr>
          <w:rFonts w:ascii="Aptos" w:eastAsia="Aptos" w:hAnsi="Aptos" w:cs="Aptos"/>
          <w:color w:val="696A6D"/>
          <w:lang w:val="en-GB"/>
        </w:rPr>
        <w:t xml:space="preserve"> web</w:t>
      </w:r>
      <w:r>
        <w:rPr>
          <w:rFonts w:ascii="Aptos" w:eastAsia="Aptos" w:hAnsi="Aptos" w:cs="Aptos"/>
          <w:color w:val="696A6D"/>
          <w:lang w:val="en-GB"/>
        </w:rPr>
        <w:t xml:space="preserve"> </w:t>
      </w:r>
      <w:r w:rsidRPr="00DF4688">
        <w:rPr>
          <w:rFonts w:ascii="Aptos" w:eastAsia="Aptos" w:hAnsi="Aptos" w:cs="Aptos"/>
          <w:color w:val="696A6D"/>
          <w:lang w:val="en-GB"/>
        </w:rPr>
        <w:t>page will include information about the fund itself, the application procedure, evaluation criteria, details about allocations, and more.</w:t>
      </w:r>
    </w:p>
    <w:p w14:paraId="3FCB3DDF" w14:textId="500710BE" w:rsidR="00DF4688" w:rsidRPr="00DF4688" w:rsidRDefault="00DF4688" w:rsidP="00DF4688">
      <w:pPr>
        <w:spacing w:before="120" w:after="120"/>
        <w:rPr>
          <w:rFonts w:ascii="Aptos" w:eastAsia="Aptos" w:hAnsi="Aptos" w:cs="Aptos"/>
          <w:color w:val="696A6D"/>
          <w:lang w:val="en-GB"/>
        </w:rPr>
      </w:pPr>
      <w:r w:rsidRPr="00DF4688">
        <w:rPr>
          <w:rFonts w:ascii="Aptos" w:eastAsia="Aptos" w:hAnsi="Aptos" w:cs="Aptos"/>
          <w:color w:val="696A6D"/>
          <w:lang w:val="en-GB"/>
        </w:rPr>
        <w:t>The web</w:t>
      </w:r>
      <w:r>
        <w:rPr>
          <w:rFonts w:ascii="Aptos" w:eastAsia="Aptos" w:hAnsi="Aptos" w:cs="Aptos"/>
          <w:color w:val="696A6D"/>
          <w:lang w:val="en-GB"/>
        </w:rPr>
        <w:t xml:space="preserve"> page</w:t>
      </w:r>
      <w:r w:rsidRPr="00DF4688">
        <w:rPr>
          <w:rFonts w:ascii="Aptos" w:eastAsia="Aptos" w:hAnsi="Aptos" w:cs="Aptos"/>
          <w:color w:val="696A6D"/>
          <w:lang w:val="en-GB"/>
        </w:rPr>
        <w:t xml:space="preserve"> will also contain application requirements, a standardized application form, and information on the documentation required for the </w:t>
      </w:r>
      <w:r>
        <w:rPr>
          <w:rFonts w:ascii="Aptos" w:eastAsia="Aptos" w:hAnsi="Aptos" w:cs="Aptos"/>
          <w:color w:val="696A6D"/>
          <w:lang w:val="en-GB"/>
        </w:rPr>
        <w:t>application</w:t>
      </w:r>
      <w:r w:rsidRPr="00DF4688">
        <w:rPr>
          <w:rFonts w:ascii="Aptos" w:eastAsia="Aptos" w:hAnsi="Aptos" w:cs="Aptos"/>
          <w:color w:val="696A6D"/>
          <w:lang w:val="en-GB"/>
        </w:rPr>
        <w:t>.</w:t>
      </w:r>
    </w:p>
    <w:p w14:paraId="72A604CB" w14:textId="77777777" w:rsidR="0012639B" w:rsidRDefault="0012639B" w:rsidP="009269DC">
      <w:pPr>
        <w:spacing w:before="120" w:after="120"/>
        <w:rPr>
          <w:rFonts w:ascii="Aptos" w:eastAsia="Aptos" w:hAnsi="Aptos" w:cs="Aptos"/>
          <w:color w:val="696A6D"/>
          <w:lang w:val="en-GB"/>
        </w:rPr>
        <w:sectPr w:rsidR="0012639B" w:rsidSect="0012639B">
          <w:type w:val="continuous"/>
          <w:pgSz w:w="11906" w:h="16838"/>
          <w:pgMar w:top="2700" w:right="851" w:bottom="1418" w:left="851" w:header="709" w:footer="709" w:gutter="0"/>
          <w:cols w:num="2" w:space="708"/>
          <w:docGrid w:linePitch="360"/>
        </w:sectPr>
      </w:pPr>
    </w:p>
    <w:p w14:paraId="5F2E09DD" w14:textId="77777777" w:rsidR="00DF4688" w:rsidRPr="00DF4688" w:rsidRDefault="00DF4688" w:rsidP="009269DC">
      <w:pPr>
        <w:spacing w:before="120" w:after="120"/>
        <w:rPr>
          <w:rFonts w:ascii="Aptos" w:eastAsia="Aptos" w:hAnsi="Aptos" w:cs="Aptos"/>
          <w:color w:val="696A6D"/>
          <w:lang w:val="en-GB"/>
        </w:rPr>
      </w:pPr>
    </w:p>
    <w:p w14:paraId="7D667C18" w14:textId="1EFB7D81" w:rsidR="009269DC" w:rsidRPr="00DF4688" w:rsidRDefault="009269DC" w:rsidP="009269DC">
      <w:pPr>
        <w:rPr>
          <w:lang w:val="en-GB"/>
        </w:rPr>
      </w:pPr>
      <w:r w:rsidRPr="00DF4688">
        <w:rPr>
          <w:lang w:val="en-GB"/>
        </w:rPr>
        <w:br w:type="page"/>
      </w:r>
    </w:p>
    <w:p w14:paraId="5FB3B1F5" w14:textId="46FC3246" w:rsidR="009269DC" w:rsidRPr="00E62D3E" w:rsidRDefault="009269DC" w:rsidP="009269DC">
      <w:pPr>
        <w:pStyle w:val="Heading1"/>
        <w:pBdr>
          <w:top w:val="single" w:sz="24" w:space="0" w:color="156082"/>
          <w:left w:val="single" w:sz="24" w:space="0" w:color="156082"/>
          <w:bottom w:val="single" w:sz="24" w:space="0" w:color="156082"/>
          <w:right w:val="single" w:sz="24" w:space="0" w:color="156082"/>
        </w:pBdr>
        <w:rPr>
          <w:lang w:val="nb-NO"/>
        </w:rPr>
      </w:pPr>
      <w:bookmarkStart w:id="11" w:name="_Toc212534922"/>
      <w:r w:rsidRPr="00E62D3E">
        <w:rPr>
          <w:lang w:val="nb-NO"/>
        </w:rPr>
        <w:lastRenderedPageBreak/>
        <w:t>Krav til rapportering</w:t>
      </w:r>
      <w:r w:rsidR="008E77FB">
        <w:rPr>
          <w:lang w:val="nb-NO"/>
        </w:rPr>
        <w:t xml:space="preserve"> | </w:t>
      </w:r>
      <w:r w:rsidR="008E77FB" w:rsidRPr="008E77FB">
        <w:rPr>
          <w:lang w:val="nb-NO"/>
        </w:rPr>
        <w:t>Reporting requirements</w:t>
      </w:r>
      <w:bookmarkEnd w:id="11"/>
    </w:p>
    <w:p w14:paraId="7F38B5E6" w14:textId="77777777" w:rsidR="008E77FB" w:rsidRDefault="008E77FB" w:rsidP="009269DC">
      <w:pPr>
        <w:spacing w:before="120" w:after="120"/>
        <w:rPr>
          <w:rFonts w:ascii="Aptos" w:eastAsia="Aptos" w:hAnsi="Aptos" w:cs="Aptos"/>
          <w:color w:val="696A6D"/>
          <w:lang w:val="nb-NO"/>
        </w:rPr>
        <w:sectPr w:rsidR="008E77FB" w:rsidSect="007618AB">
          <w:type w:val="continuous"/>
          <w:pgSz w:w="11906" w:h="16838"/>
          <w:pgMar w:top="2700" w:right="851" w:bottom="1418" w:left="851" w:header="709" w:footer="709" w:gutter="0"/>
          <w:cols w:space="708"/>
          <w:docGrid w:linePitch="360"/>
        </w:sectPr>
      </w:pPr>
    </w:p>
    <w:p w14:paraId="7D47659F" w14:textId="77777777" w:rsidR="008E77FB" w:rsidRDefault="008E77FB" w:rsidP="009269DC">
      <w:pPr>
        <w:spacing w:before="120" w:after="120"/>
        <w:rPr>
          <w:rFonts w:ascii="Aptos" w:eastAsia="Aptos" w:hAnsi="Aptos" w:cs="Aptos"/>
          <w:color w:val="696A6D"/>
          <w:lang w:val="nb-NO"/>
        </w:rPr>
      </w:pPr>
    </w:p>
    <w:p w14:paraId="5C898938" w14:textId="77777777" w:rsidR="008E77FB" w:rsidRDefault="008E77FB" w:rsidP="009269DC">
      <w:pPr>
        <w:spacing w:before="120" w:after="120"/>
        <w:rPr>
          <w:rFonts w:ascii="Aptos" w:eastAsia="Aptos" w:hAnsi="Aptos" w:cs="Aptos"/>
          <w:color w:val="696A6D"/>
          <w:lang w:val="nb-NO"/>
        </w:rPr>
      </w:pPr>
    </w:p>
    <w:p w14:paraId="0BBEECFB" w14:textId="3712851D" w:rsidR="009269DC" w:rsidRPr="00E62D3E" w:rsidRDefault="009269DC" w:rsidP="009269DC">
      <w:pPr>
        <w:spacing w:before="120" w:after="120"/>
        <w:rPr>
          <w:rFonts w:ascii="Aptos" w:eastAsia="Aptos" w:hAnsi="Aptos" w:cs="Aptos"/>
          <w:color w:val="696A6D"/>
          <w:lang w:val="nb-NO"/>
        </w:rPr>
      </w:pPr>
      <w:r w:rsidRPr="00E62D3E">
        <w:rPr>
          <w:rFonts w:ascii="Aptos" w:eastAsia="Aptos" w:hAnsi="Aptos" w:cs="Aptos"/>
          <w:color w:val="696A6D"/>
          <w:lang w:val="nb-NO"/>
        </w:rPr>
        <w:t xml:space="preserve">Etter tildeling av midler (ca. 6 mnd. etter, eller etter nærmere avtale) skal søkeren sende en kort rapport som informerer om effekt av tildelingen.  </w:t>
      </w:r>
    </w:p>
    <w:p w14:paraId="36961F05" w14:textId="77777777" w:rsidR="009269DC" w:rsidRPr="00E62D3E" w:rsidRDefault="009269DC" w:rsidP="009269DC">
      <w:pPr>
        <w:spacing w:before="120" w:after="120"/>
        <w:rPr>
          <w:rFonts w:ascii="Aptos" w:eastAsia="Aptos" w:hAnsi="Aptos" w:cs="Aptos"/>
          <w:color w:val="696A6D"/>
          <w:lang w:val="nb-NO"/>
        </w:rPr>
      </w:pPr>
      <w:r w:rsidRPr="00E62D3E">
        <w:rPr>
          <w:rFonts w:ascii="Aptos" w:eastAsia="Aptos" w:hAnsi="Aptos" w:cs="Aptos"/>
          <w:color w:val="696A6D"/>
          <w:lang w:val="nb-NO"/>
        </w:rPr>
        <w:t>Rapporten skal minimum inneholde:</w:t>
      </w:r>
    </w:p>
    <w:p w14:paraId="3830C162" w14:textId="77777777" w:rsidR="009269DC" w:rsidRPr="00E51390" w:rsidRDefault="009269DC" w:rsidP="009269DC">
      <w:pPr>
        <w:pStyle w:val="ListParagraph"/>
        <w:numPr>
          <w:ilvl w:val="0"/>
          <w:numId w:val="6"/>
        </w:numPr>
        <w:spacing w:before="120" w:after="120"/>
        <w:rPr>
          <w:rFonts w:ascii="Aptos" w:eastAsia="Aptos" w:hAnsi="Aptos" w:cs="Aptos"/>
          <w:color w:val="696A6D"/>
          <w:lang w:val="nb-NO"/>
        </w:rPr>
      </w:pPr>
      <w:r w:rsidRPr="00E51390">
        <w:rPr>
          <w:rFonts w:ascii="Aptos" w:eastAsia="Aptos" w:hAnsi="Aptos" w:cs="Aptos"/>
          <w:color w:val="696A6D"/>
          <w:lang w:val="nb-NO"/>
        </w:rPr>
        <w:t xml:space="preserve">Dokumentasjon på faktisk bruk av midlene </w:t>
      </w:r>
    </w:p>
    <w:p w14:paraId="417799C7" w14:textId="77777777" w:rsidR="009269DC" w:rsidRDefault="009269DC" w:rsidP="009269DC">
      <w:pPr>
        <w:pStyle w:val="ListParagraph"/>
        <w:numPr>
          <w:ilvl w:val="0"/>
          <w:numId w:val="6"/>
        </w:numPr>
        <w:spacing w:before="120" w:after="120"/>
        <w:rPr>
          <w:rFonts w:ascii="Aptos" w:eastAsia="Aptos" w:hAnsi="Aptos" w:cs="Aptos"/>
          <w:color w:val="696A6D"/>
        </w:rPr>
      </w:pPr>
      <w:proofErr w:type="spellStart"/>
      <w:r w:rsidRPr="00E51390">
        <w:rPr>
          <w:rFonts w:ascii="Aptos" w:eastAsia="Aptos" w:hAnsi="Aptos" w:cs="Aptos"/>
          <w:color w:val="696A6D"/>
        </w:rPr>
        <w:t>Faktisk</w:t>
      </w:r>
      <w:proofErr w:type="spellEnd"/>
      <w:r w:rsidRPr="00E51390">
        <w:rPr>
          <w:rFonts w:ascii="Aptos" w:eastAsia="Aptos" w:hAnsi="Aptos" w:cs="Aptos"/>
          <w:color w:val="696A6D"/>
        </w:rPr>
        <w:t xml:space="preserve"> </w:t>
      </w:r>
      <w:proofErr w:type="spellStart"/>
      <w:r w:rsidRPr="00E51390">
        <w:rPr>
          <w:rFonts w:ascii="Aptos" w:eastAsia="Aptos" w:hAnsi="Aptos" w:cs="Aptos"/>
          <w:color w:val="696A6D"/>
        </w:rPr>
        <w:t>effekt</w:t>
      </w:r>
      <w:proofErr w:type="spellEnd"/>
      <w:r w:rsidRPr="00E51390">
        <w:rPr>
          <w:rFonts w:ascii="Aptos" w:eastAsia="Aptos" w:hAnsi="Aptos" w:cs="Aptos"/>
          <w:color w:val="696A6D"/>
        </w:rPr>
        <w:t xml:space="preserve"> av </w:t>
      </w:r>
      <w:proofErr w:type="spellStart"/>
      <w:r w:rsidRPr="00E51390">
        <w:rPr>
          <w:rFonts w:ascii="Aptos" w:eastAsia="Aptos" w:hAnsi="Aptos" w:cs="Aptos"/>
          <w:color w:val="696A6D"/>
        </w:rPr>
        <w:t>tildelingen</w:t>
      </w:r>
      <w:proofErr w:type="spellEnd"/>
    </w:p>
    <w:p w14:paraId="24534495" w14:textId="77777777" w:rsidR="009269DC" w:rsidRPr="00FD092D" w:rsidRDefault="009269DC" w:rsidP="009269DC">
      <w:pPr>
        <w:spacing w:before="120" w:after="120"/>
        <w:rPr>
          <w:rFonts w:ascii="Aptos" w:eastAsia="Aptos" w:hAnsi="Aptos" w:cs="Aptos"/>
          <w:color w:val="696A6D"/>
          <w:lang w:val="nb-NO"/>
        </w:rPr>
      </w:pPr>
      <w:r w:rsidRPr="00FD092D">
        <w:rPr>
          <w:rFonts w:ascii="Aptos" w:eastAsia="Aptos" w:hAnsi="Aptos" w:cs="Aptos"/>
          <w:color w:val="696A6D"/>
          <w:lang w:val="nb-NO"/>
        </w:rPr>
        <w:t>Dersom det avdekkes at m</w:t>
      </w:r>
      <w:r>
        <w:rPr>
          <w:rFonts w:ascii="Aptos" w:eastAsia="Aptos" w:hAnsi="Aptos" w:cs="Aptos"/>
          <w:color w:val="696A6D"/>
          <w:lang w:val="nb-NO"/>
        </w:rPr>
        <w:t xml:space="preserve">idlene ikke er brukt i tråd med søknaden så kan Nemkofondet kreve midlene tilbake. </w:t>
      </w:r>
    </w:p>
    <w:p w14:paraId="34A3E0F7" w14:textId="77777777" w:rsidR="008E77FB" w:rsidRDefault="008E77FB" w:rsidP="00DF4688">
      <w:pPr>
        <w:rPr>
          <w:rFonts w:ascii="Aptos" w:eastAsia="Aptos" w:hAnsi="Aptos" w:cs="Aptos"/>
          <w:b/>
          <w:bCs/>
          <w:color w:val="696A6D"/>
          <w:lang w:val="nb-NO"/>
        </w:rPr>
      </w:pPr>
    </w:p>
    <w:p w14:paraId="3D76E67A" w14:textId="7A09A68A" w:rsidR="00DF4688" w:rsidRPr="008E77FB" w:rsidRDefault="008E77FB" w:rsidP="00DF4688">
      <w:pPr>
        <w:rPr>
          <w:color w:val="696A6D"/>
          <w:lang w:val="en-GB"/>
        </w:rPr>
      </w:pPr>
      <w:r w:rsidRPr="00DF48B9">
        <w:rPr>
          <w:rFonts w:ascii="Aptos" w:eastAsia="Aptos" w:hAnsi="Aptos" w:cs="Aptos"/>
          <w:b/>
          <w:bCs/>
          <w:color w:val="696A6D"/>
          <w:lang w:val="en-GB"/>
        </w:rPr>
        <w:br/>
      </w:r>
      <w:r w:rsidR="00DF4688" w:rsidRPr="008E77FB">
        <w:rPr>
          <w:color w:val="696A6D"/>
          <w:lang w:val="en-GB"/>
        </w:rPr>
        <w:t>After the allocation (approximately six months later, or as otherwise agreed), the applicant must submit a brief report describing the impact of the grant.</w:t>
      </w:r>
    </w:p>
    <w:p w14:paraId="1574BDA6" w14:textId="5992D770" w:rsidR="00DF4688" w:rsidRPr="008E77FB" w:rsidRDefault="00DF4688" w:rsidP="00DF4688">
      <w:pPr>
        <w:rPr>
          <w:color w:val="696A6D"/>
          <w:lang w:val="en-GB"/>
        </w:rPr>
      </w:pPr>
      <w:r w:rsidRPr="008E77FB">
        <w:rPr>
          <w:color w:val="696A6D"/>
          <w:lang w:val="en-GB"/>
        </w:rPr>
        <w:t>The report must include at least:</w:t>
      </w:r>
      <w:r w:rsidRPr="008E77FB">
        <w:rPr>
          <w:color w:val="696A6D"/>
          <w:lang w:val="en-GB"/>
        </w:rPr>
        <w:br/>
        <w:t xml:space="preserve">• Documentation of the actual use of the </w:t>
      </w:r>
      <w:r w:rsidR="003154CF" w:rsidRPr="008E77FB">
        <w:rPr>
          <w:color w:val="696A6D"/>
          <w:lang w:val="en-GB"/>
        </w:rPr>
        <w:t>grant</w:t>
      </w:r>
      <w:r w:rsidRPr="008E77FB">
        <w:rPr>
          <w:color w:val="696A6D"/>
          <w:lang w:val="en-GB"/>
        </w:rPr>
        <w:br/>
        <w:t>• The actual impact of the allocation</w:t>
      </w:r>
    </w:p>
    <w:p w14:paraId="3A9C4F4A" w14:textId="60E440A2" w:rsidR="00DF4688" w:rsidRPr="008E77FB" w:rsidRDefault="00DF4688" w:rsidP="00DF4688">
      <w:pPr>
        <w:rPr>
          <w:color w:val="696A6D"/>
          <w:lang w:val="en-GB"/>
        </w:rPr>
      </w:pPr>
      <w:r w:rsidRPr="008E77FB">
        <w:rPr>
          <w:color w:val="696A6D"/>
          <w:lang w:val="en-GB"/>
        </w:rPr>
        <w:t xml:space="preserve">If it is found that the </w:t>
      </w:r>
      <w:r w:rsidR="003154CF" w:rsidRPr="008E77FB">
        <w:rPr>
          <w:color w:val="696A6D"/>
          <w:lang w:val="en-GB"/>
        </w:rPr>
        <w:t>grant</w:t>
      </w:r>
      <w:r w:rsidRPr="008E77FB">
        <w:rPr>
          <w:color w:val="696A6D"/>
          <w:lang w:val="en-GB"/>
        </w:rPr>
        <w:t xml:space="preserve"> </w:t>
      </w:r>
      <w:r w:rsidR="003154CF" w:rsidRPr="008E77FB">
        <w:rPr>
          <w:color w:val="696A6D"/>
          <w:lang w:val="en-GB"/>
        </w:rPr>
        <w:t>has</w:t>
      </w:r>
      <w:r w:rsidRPr="008E77FB">
        <w:rPr>
          <w:color w:val="696A6D"/>
          <w:lang w:val="en-GB"/>
        </w:rPr>
        <w:t xml:space="preserve"> not been used in accordance with the approved application, </w:t>
      </w:r>
      <w:r w:rsidR="003154CF" w:rsidRPr="008E77FB">
        <w:rPr>
          <w:color w:val="696A6D"/>
          <w:lang w:val="en-GB"/>
        </w:rPr>
        <w:t xml:space="preserve">Nemkofondet </w:t>
      </w:r>
      <w:r w:rsidRPr="008E77FB">
        <w:rPr>
          <w:color w:val="696A6D"/>
          <w:lang w:val="en-GB"/>
        </w:rPr>
        <w:t xml:space="preserve">may require the </w:t>
      </w:r>
      <w:r w:rsidR="003154CF" w:rsidRPr="008E77FB">
        <w:rPr>
          <w:color w:val="696A6D"/>
          <w:lang w:val="en-GB"/>
        </w:rPr>
        <w:t>grant</w:t>
      </w:r>
      <w:r w:rsidRPr="008E77FB">
        <w:rPr>
          <w:color w:val="696A6D"/>
          <w:lang w:val="en-GB"/>
        </w:rPr>
        <w:t xml:space="preserve"> to be repaid.</w:t>
      </w:r>
    </w:p>
    <w:p w14:paraId="3DA73443" w14:textId="77777777" w:rsidR="008E77FB" w:rsidRDefault="008E77FB" w:rsidP="009269DC">
      <w:pPr>
        <w:rPr>
          <w:b/>
          <w:bCs/>
          <w:lang w:val="en-GB"/>
        </w:rPr>
        <w:sectPr w:rsidR="008E77FB" w:rsidSect="008E77FB">
          <w:type w:val="continuous"/>
          <w:pgSz w:w="11906" w:h="16838"/>
          <w:pgMar w:top="2700" w:right="851" w:bottom="1418" w:left="851" w:header="709" w:footer="709" w:gutter="0"/>
          <w:cols w:num="2" w:space="708"/>
          <w:docGrid w:linePitch="360"/>
        </w:sectPr>
      </w:pPr>
    </w:p>
    <w:p w14:paraId="08DEB23E" w14:textId="77777777" w:rsidR="00DF4688" w:rsidRPr="00DF4688" w:rsidRDefault="00DF4688" w:rsidP="009269DC">
      <w:pPr>
        <w:rPr>
          <w:b/>
          <w:bCs/>
          <w:lang w:val="en-GB"/>
        </w:rPr>
      </w:pPr>
    </w:p>
    <w:p w14:paraId="03A61166" w14:textId="59032BDA" w:rsidR="00017AFC" w:rsidRPr="00DF4688" w:rsidRDefault="00017AFC" w:rsidP="00DF4688">
      <w:pPr>
        <w:spacing w:after="360" w:line="280" w:lineRule="exact"/>
        <w:rPr>
          <w:lang w:val="en-GB"/>
        </w:rPr>
      </w:pPr>
    </w:p>
    <w:sectPr w:rsidR="00017AFC" w:rsidRPr="00DF4688" w:rsidSect="007618AB">
      <w:type w:val="continuous"/>
      <w:pgSz w:w="11906" w:h="16838"/>
      <w:pgMar w:top="2700"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62A0" w14:textId="77777777" w:rsidR="009269DC" w:rsidRDefault="009269DC" w:rsidP="008D083A">
      <w:r>
        <w:separator/>
      </w:r>
    </w:p>
  </w:endnote>
  <w:endnote w:type="continuationSeparator" w:id="0">
    <w:p w14:paraId="75D2017C" w14:textId="77777777" w:rsidR="009269DC" w:rsidRDefault="009269DC" w:rsidP="008D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04418"/>
      <w:docPartObj>
        <w:docPartGallery w:val="Page Numbers (Bottom of Page)"/>
        <w:docPartUnique/>
      </w:docPartObj>
    </w:sdtPr>
    <w:sdtEndPr>
      <w:rPr>
        <w:noProof/>
      </w:rPr>
    </w:sdtEndPr>
    <w:sdtContent>
      <w:p w14:paraId="4FDE5507" w14:textId="5A8DA78F" w:rsidR="0007066E" w:rsidRDefault="000706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286636" w14:textId="1CB7BD1A" w:rsidR="008D083A" w:rsidRDefault="008D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710F" w14:textId="77777777" w:rsidR="009269DC" w:rsidRDefault="009269DC" w:rsidP="008D083A">
      <w:r>
        <w:separator/>
      </w:r>
    </w:p>
  </w:footnote>
  <w:footnote w:type="continuationSeparator" w:id="0">
    <w:p w14:paraId="0CC668E8" w14:textId="77777777" w:rsidR="009269DC" w:rsidRDefault="009269DC" w:rsidP="008D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F161" w14:textId="77777777" w:rsidR="00017AFC" w:rsidRDefault="00DF48B9" w:rsidP="008D083A">
    <w:pPr>
      <w:pStyle w:val="Header"/>
    </w:pPr>
    <w:r>
      <w:rPr>
        <w:noProof/>
        <w:lang w:val="bs-Latn-BA" w:eastAsia="bs-Latn-BA"/>
      </w:rPr>
      <w:pict w14:anchorId="155F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9444" o:spid="_x0000_s1026" type="#_x0000_t75" alt="" style="position:absolute;margin-left:0;margin-top:0;width:600.15pt;height:846.55pt;z-index:-251658239;mso-wrap-edited:f;mso-width-percent:0;mso-height-percent:0;mso-position-horizontal:center;mso-position-horizontal-relative:margin;mso-position-vertical:center;mso-position-vertical-relative:margin;mso-width-percent:0;mso-height-percent:0" o:allowincell="f">
          <v:imagedata r:id="rId1" o:title="Nemko - Letterhead A4_Podloga za 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5D22" w14:textId="77777777" w:rsidR="00017AFC" w:rsidRDefault="00DD481F" w:rsidP="008D083A">
    <w:pPr>
      <w:pStyle w:val="Header"/>
    </w:pPr>
    <w:r>
      <w:rPr>
        <w:noProof/>
      </w:rPr>
      <mc:AlternateContent>
        <mc:Choice Requires="wps">
          <w:drawing>
            <wp:anchor distT="0" distB="0" distL="114300" distR="114300" simplePos="0" relativeHeight="251658244" behindDoc="0" locked="0" layoutInCell="1" allowOverlap="1" wp14:anchorId="0ADA8704" wp14:editId="7C7A57B3">
              <wp:simplePos x="0" y="0"/>
              <wp:positionH relativeFrom="column">
                <wp:posOffset>3729990</wp:posOffset>
              </wp:positionH>
              <wp:positionV relativeFrom="paragraph">
                <wp:posOffset>-495664</wp:posOffset>
              </wp:positionV>
              <wp:extent cx="1897512" cy="116282"/>
              <wp:effectExtent l="0" t="0" r="7620" b="0"/>
              <wp:wrapNone/>
              <wp:docPr id="9" name="Rectangle 9"/>
              <wp:cNvGraphicFramePr/>
              <a:graphic xmlns:a="http://schemas.openxmlformats.org/drawingml/2006/main">
                <a:graphicData uri="http://schemas.microsoft.com/office/word/2010/wordprocessingShape">
                  <wps:wsp>
                    <wps:cNvSpPr/>
                    <wps:spPr>
                      <a:xfrm>
                        <a:off x="0" y="0"/>
                        <a:ext cx="1897512" cy="116282"/>
                      </a:xfrm>
                      <a:prstGeom prst="rect">
                        <a:avLst/>
                      </a:prstGeom>
                      <a:solidFill>
                        <a:srgbClr val="696A6D">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697A33" id="Rectangle 9" o:spid="_x0000_s1026" style="position:absolute;margin-left:293.7pt;margin-top:-39.05pt;width:149.4pt;height:9.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" fillcolor="#696a6d" stroked="f" strokeweight="2pt">
              <v:fill opacity="19789f"/>
            </v:rect>
          </w:pict>
        </mc:Fallback>
      </mc:AlternateContent>
    </w:r>
    <w:r>
      <w:rPr>
        <w:noProof/>
      </w:rPr>
      <mc:AlternateContent>
        <mc:Choice Requires="wps">
          <w:drawing>
            <wp:anchor distT="0" distB="0" distL="114300" distR="114300" simplePos="0" relativeHeight="251658243" behindDoc="0" locked="0" layoutInCell="1" allowOverlap="1" wp14:anchorId="7C837784" wp14:editId="5A8D0F25">
              <wp:simplePos x="0" y="0"/>
              <wp:positionH relativeFrom="column">
                <wp:posOffset>3544999</wp:posOffset>
              </wp:positionH>
              <wp:positionV relativeFrom="paragraph">
                <wp:posOffset>415925</wp:posOffset>
              </wp:positionV>
              <wp:extent cx="2981050" cy="295990"/>
              <wp:effectExtent l="0" t="0" r="10160"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050" cy="295990"/>
                      </a:xfrm>
                      <a:prstGeom prst="rect">
                        <a:avLst/>
                      </a:prstGeom>
                      <a:noFill/>
                      <a:ln w="9525">
                        <a:noFill/>
                        <a:miter lim="800000"/>
                        <a:headEnd/>
                        <a:tailEnd/>
                      </a:ln>
                    </wps:spPr>
                    <wps:txbx>
                      <w:txbxContent>
                        <w:p w14:paraId="55E7D32D" w14:textId="77777777" w:rsidR="00DD481F" w:rsidRDefault="00DD481F" w:rsidP="00DD481F"/>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837784" id="_x0000_t202" coordsize="21600,21600" o:spt="202" path="m,l,21600r21600,l21600,xe">
              <v:stroke joinstyle="miter"/>
              <v:path gradientshapeok="t" o:connecttype="rect"/>
            </v:shapetype>
            <v:shape id="Text Box 2" o:spid="_x0000_s1026" type="#_x0000_t202" style="position:absolute;margin-left:279.15pt;margin-top:32.75pt;width:234.75pt;height:2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" filled="f" stroked="f">
              <v:textbox inset="0,0,0,0">
                <w:txbxContent>
                  <w:p w14:paraId="55E7D32D" w14:textId="77777777" w:rsidR="00DD481F" w:rsidRDefault="00DD481F" w:rsidP="00DD481F"/>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08AD295" wp14:editId="18BD9DA9">
              <wp:simplePos x="0" y="0"/>
              <wp:positionH relativeFrom="column">
                <wp:posOffset>-303530</wp:posOffset>
              </wp:positionH>
              <wp:positionV relativeFrom="paragraph">
                <wp:posOffset>56944</wp:posOffset>
              </wp:positionV>
              <wp:extent cx="2103649" cy="924971"/>
              <wp:effectExtent l="0" t="0" r="1143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649" cy="924971"/>
                      </a:xfrm>
                      <a:prstGeom prst="rect">
                        <a:avLst/>
                      </a:prstGeom>
                      <a:noFill/>
                      <a:ln w="9525">
                        <a:noFill/>
                        <a:miter lim="800000"/>
                        <a:headEnd/>
                        <a:tailEnd/>
                      </a:ln>
                    </wps:spPr>
                    <wps:txbx>
                      <w:txbxContent>
                        <w:p w14:paraId="623752F8" w14:textId="77777777" w:rsidR="00DD481F" w:rsidRDefault="00DD481F" w:rsidP="00DD481F">
                          <w:r>
                            <w:rPr>
                              <w:noProof/>
                            </w:rPr>
                            <w:drawing>
                              <wp:inline distT="0" distB="0" distL="0" distR="0" wp14:anchorId="411DB77F" wp14:editId="2C156299">
                                <wp:extent cx="1691640" cy="758952"/>
                                <wp:effectExtent l="0" t="0" r="3810" b="3175"/>
                                <wp:docPr id="563359787" name="Picture 56335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ko - Letterhead A4 -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758952"/>
                                        </a:xfrm>
                                        <a:prstGeom prst="rect">
                                          <a:avLst/>
                                        </a:prstGeom>
                                      </pic:spPr>
                                    </pic:pic>
                                  </a:graphicData>
                                </a:graphic>
                              </wp:inline>
                            </w:drawing>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AD295" id="_x0000_s1027" type="#_x0000_t202" style="position:absolute;margin-left:-23.9pt;margin-top:4.5pt;width:165.65pt;height:7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" filled="f" stroked="f">
              <v:textbox inset="0,0,0,0">
                <w:txbxContent>
                  <w:p w14:paraId="623752F8" w14:textId="77777777" w:rsidR="00DD481F" w:rsidRDefault="00DD481F" w:rsidP="00DD481F">
                    <w:r>
                      <w:rPr>
                        <w:noProof/>
                      </w:rPr>
                      <w:drawing>
                        <wp:inline distT="0" distB="0" distL="0" distR="0" wp14:anchorId="411DB77F" wp14:editId="2C156299">
                          <wp:extent cx="1691640" cy="758952"/>
                          <wp:effectExtent l="0" t="0" r="3810" b="3175"/>
                          <wp:docPr id="563359787" name="Picture 56335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ko - Letterhead A4 -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758952"/>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D801" w14:textId="77777777" w:rsidR="00017AFC" w:rsidRDefault="00DF48B9" w:rsidP="008D083A">
    <w:pPr>
      <w:pStyle w:val="Header"/>
    </w:pPr>
    <w:r>
      <w:rPr>
        <w:noProof/>
        <w:lang w:val="bs-Latn-BA" w:eastAsia="bs-Latn-BA"/>
      </w:rPr>
      <w:pict w14:anchorId="3080B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9443" o:spid="_x0000_s1025" type="#_x0000_t75" alt="" style="position:absolute;margin-left:0;margin-top:0;width:600.15pt;height:846.55pt;z-index:-251658240;mso-wrap-edited:f;mso-width-percent:0;mso-height-percent:0;mso-position-horizontal:center;mso-position-horizontal-relative:margin;mso-position-vertical:center;mso-position-vertical-relative:margin;mso-width-percent:0;mso-height-percent:0" o:allowincell="f">
          <v:imagedata r:id="rId1" o:title="Nemko - Letterhead A4_Podloga za 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F03"/>
    <w:multiLevelType w:val="hybridMultilevel"/>
    <w:tmpl w:val="70782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0F9EB"/>
    <w:multiLevelType w:val="hybridMultilevel"/>
    <w:tmpl w:val="DCFC4A16"/>
    <w:lvl w:ilvl="0" w:tplc="B400F3D6">
      <w:start w:val="1"/>
      <w:numFmt w:val="bullet"/>
      <w:lvlText w:val="-"/>
      <w:lvlJc w:val="left"/>
      <w:pPr>
        <w:ind w:left="720" w:hanging="360"/>
      </w:pPr>
      <w:rPr>
        <w:rFonts w:ascii="Aptos" w:hAnsi="Aptos" w:hint="default"/>
      </w:rPr>
    </w:lvl>
    <w:lvl w:ilvl="1" w:tplc="F77CEDD6">
      <w:start w:val="1"/>
      <w:numFmt w:val="bullet"/>
      <w:lvlText w:val="o"/>
      <w:lvlJc w:val="left"/>
      <w:pPr>
        <w:ind w:left="1440" w:hanging="360"/>
      </w:pPr>
      <w:rPr>
        <w:rFonts w:ascii="Courier New" w:hAnsi="Courier New" w:hint="default"/>
      </w:rPr>
    </w:lvl>
    <w:lvl w:ilvl="2" w:tplc="C484A224">
      <w:start w:val="1"/>
      <w:numFmt w:val="bullet"/>
      <w:lvlText w:val=""/>
      <w:lvlJc w:val="left"/>
      <w:pPr>
        <w:ind w:left="2160" w:hanging="360"/>
      </w:pPr>
      <w:rPr>
        <w:rFonts w:ascii="Wingdings" w:hAnsi="Wingdings" w:hint="default"/>
      </w:rPr>
    </w:lvl>
    <w:lvl w:ilvl="3" w:tplc="B5E212C4">
      <w:start w:val="1"/>
      <w:numFmt w:val="bullet"/>
      <w:lvlText w:val=""/>
      <w:lvlJc w:val="left"/>
      <w:pPr>
        <w:ind w:left="2880" w:hanging="360"/>
      </w:pPr>
      <w:rPr>
        <w:rFonts w:ascii="Symbol" w:hAnsi="Symbol" w:hint="default"/>
      </w:rPr>
    </w:lvl>
    <w:lvl w:ilvl="4" w:tplc="51EAF7B6">
      <w:start w:val="1"/>
      <w:numFmt w:val="bullet"/>
      <w:lvlText w:val="o"/>
      <w:lvlJc w:val="left"/>
      <w:pPr>
        <w:ind w:left="3600" w:hanging="360"/>
      </w:pPr>
      <w:rPr>
        <w:rFonts w:ascii="Courier New" w:hAnsi="Courier New" w:hint="default"/>
      </w:rPr>
    </w:lvl>
    <w:lvl w:ilvl="5" w:tplc="8196D2D2">
      <w:start w:val="1"/>
      <w:numFmt w:val="bullet"/>
      <w:lvlText w:val=""/>
      <w:lvlJc w:val="left"/>
      <w:pPr>
        <w:ind w:left="4320" w:hanging="360"/>
      </w:pPr>
      <w:rPr>
        <w:rFonts w:ascii="Wingdings" w:hAnsi="Wingdings" w:hint="default"/>
      </w:rPr>
    </w:lvl>
    <w:lvl w:ilvl="6" w:tplc="3FDE8112">
      <w:start w:val="1"/>
      <w:numFmt w:val="bullet"/>
      <w:lvlText w:val=""/>
      <w:lvlJc w:val="left"/>
      <w:pPr>
        <w:ind w:left="5040" w:hanging="360"/>
      </w:pPr>
      <w:rPr>
        <w:rFonts w:ascii="Symbol" w:hAnsi="Symbol" w:hint="default"/>
      </w:rPr>
    </w:lvl>
    <w:lvl w:ilvl="7" w:tplc="03F2A326">
      <w:start w:val="1"/>
      <w:numFmt w:val="bullet"/>
      <w:lvlText w:val="o"/>
      <w:lvlJc w:val="left"/>
      <w:pPr>
        <w:ind w:left="5760" w:hanging="360"/>
      </w:pPr>
      <w:rPr>
        <w:rFonts w:ascii="Courier New" w:hAnsi="Courier New" w:hint="default"/>
      </w:rPr>
    </w:lvl>
    <w:lvl w:ilvl="8" w:tplc="801E9FB2">
      <w:start w:val="1"/>
      <w:numFmt w:val="bullet"/>
      <w:lvlText w:val=""/>
      <w:lvlJc w:val="left"/>
      <w:pPr>
        <w:ind w:left="6480" w:hanging="360"/>
      </w:pPr>
      <w:rPr>
        <w:rFonts w:ascii="Wingdings" w:hAnsi="Wingdings" w:hint="default"/>
      </w:rPr>
    </w:lvl>
  </w:abstractNum>
  <w:abstractNum w:abstractNumId="2" w15:restartNumberingAfterBreak="0">
    <w:nsid w:val="14F352D7"/>
    <w:multiLevelType w:val="multilevel"/>
    <w:tmpl w:val="887E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E7339"/>
    <w:multiLevelType w:val="hybridMultilevel"/>
    <w:tmpl w:val="2680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5274"/>
    <w:multiLevelType w:val="hybridMultilevel"/>
    <w:tmpl w:val="20780CA0"/>
    <w:lvl w:ilvl="0" w:tplc="CC7C6618">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56FCD"/>
    <w:multiLevelType w:val="multilevel"/>
    <w:tmpl w:val="AB6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A72B4"/>
    <w:multiLevelType w:val="hybridMultilevel"/>
    <w:tmpl w:val="5F94403A"/>
    <w:lvl w:ilvl="0" w:tplc="7242CFF8">
      <w:start w:val="1"/>
      <w:numFmt w:val="decimal"/>
      <w:lvlText w:val="%1."/>
      <w:lvlJc w:val="left"/>
      <w:pPr>
        <w:tabs>
          <w:tab w:val="num" w:pos="720"/>
        </w:tabs>
        <w:ind w:left="720" w:hanging="360"/>
      </w:pPr>
    </w:lvl>
    <w:lvl w:ilvl="1" w:tplc="DF1CD1CE" w:tentative="1">
      <w:start w:val="1"/>
      <w:numFmt w:val="decimal"/>
      <w:lvlText w:val="%2."/>
      <w:lvlJc w:val="left"/>
      <w:pPr>
        <w:tabs>
          <w:tab w:val="num" w:pos="1440"/>
        </w:tabs>
        <w:ind w:left="1440" w:hanging="360"/>
      </w:pPr>
    </w:lvl>
    <w:lvl w:ilvl="2" w:tplc="5CD4BBF4" w:tentative="1">
      <w:start w:val="1"/>
      <w:numFmt w:val="decimal"/>
      <w:lvlText w:val="%3."/>
      <w:lvlJc w:val="left"/>
      <w:pPr>
        <w:tabs>
          <w:tab w:val="num" w:pos="2160"/>
        </w:tabs>
        <w:ind w:left="2160" w:hanging="360"/>
      </w:pPr>
    </w:lvl>
    <w:lvl w:ilvl="3" w:tplc="26E23752" w:tentative="1">
      <w:start w:val="1"/>
      <w:numFmt w:val="decimal"/>
      <w:lvlText w:val="%4."/>
      <w:lvlJc w:val="left"/>
      <w:pPr>
        <w:tabs>
          <w:tab w:val="num" w:pos="2880"/>
        </w:tabs>
        <w:ind w:left="2880" w:hanging="360"/>
      </w:pPr>
    </w:lvl>
    <w:lvl w:ilvl="4" w:tplc="A7AE5512" w:tentative="1">
      <w:start w:val="1"/>
      <w:numFmt w:val="decimal"/>
      <w:lvlText w:val="%5."/>
      <w:lvlJc w:val="left"/>
      <w:pPr>
        <w:tabs>
          <w:tab w:val="num" w:pos="3600"/>
        </w:tabs>
        <w:ind w:left="3600" w:hanging="360"/>
      </w:pPr>
    </w:lvl>
    <w:lvl w:ilvl="5" w:tplc="07664EF0" w:tentative="1">
      <w:start w:val="1"/>
      <w:numFmt w:val="decimal"/>
      <w:lvlText w:val="%6."/>
      <w:lvlJc w:val="left"/>
      <w:pPr>
        <w:tabs>
          <w:tab w:val="num" w:pos="4320"/>
        </w:tabs>
        <w:ind w:left="4320" w:hanging="360"/>
      </w:pPr>
    </w:lvl>
    <w:lvl w:ilvl="6" w:tplc="9C087650" w:tentative="1">
      <w:start w:val="1"/>
      <w:numFmt w:val="decimal"/>
      <w:lvlText w:val="%7."/>
      <w:lvlJc w:val="left"/>
      <w:pPr>
        <w:tabs>
          <w:tab w:val="num" w:pos="5040"/>
        </w:tabs>
        <w:ind w:left="5040" w:hanging="360"/>
      </w:pPr>
    </w:lvl>
    <w:lvl w:ilvl="7" w:tplc="6CF8E14E" w:tentative="1">
      <w:start w:val="1"/>
      <w:numFmt w:val="decimal"/>
      <w:lvlText w:val="%8."/>
      <w:lvlJc w:val="left"/>
      <w:pPr>
        <w:tabs>
          <w:tab w:val="num" w:pos="5760"/>
        </w:tabs>
        <w:ind w:left="5760" w:hanging="360"/>
      </w:pPr>
    </w:lvl>
    <w:lvl w:ilvl="8" w:tplc="2108B354" w:tentative="1">
      <w:start w:val="1"/>
      <w:numFmt w:val="decimal"/>
      <w:lvlText w:val="%9."/>
      <w:lvlJc w:val="left"/>
      <w:pPr>
        <w:tabs>
          <w:tab w:val="num" w:pos="6480"/>
        </w:tabs>
        <w:ind w:left="6480" w:hanging="360"/>
      </w:pPr>
    </w:lvl>
  </w:abstractNum>
  <w:abstractNum w:abstractNumId="7" w15:restartNumberingAfterBreak="0">
    <w:nsid w:val="21492C1F"/>
    <w:multiLevelType w:val="hybridMultilevel"/>
    <w:tmpl w:val="B492F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D7E6FD"/>
    <w:multiLevelType w:val="hybridMultilevel"/>
    <w:tmpl w:val="E5FA4736"/>
    <w:lvl w:ilvl="0" w:tplc="42C016BE">
      <w:start w:val="1"/>
      <w:numFmt w:val="bullet"/>
      <w:lvlText w:val=""/>
      <w:lvlJc w:val="left"/>
      <w:pPr>
        <w:ind w:left="720" w:hanging="360"/>
      </w:pPr>
      <w:rPr>
        <w:rFonts w:ascii="Symbol" w:hAnsi="Symbol" w:hint="default"/>
      </w:rPr>
    </w:lvl>
    <w:lvl w:ilvl="1" w:tplc="D4DEEA6A">
      <w:start w:val="1"/>
      <w:numFmt w:val="bullet"/>
      <w:lvlText w:val="o"/>
      <w:lvlJc w:val="left"/>
      <w:pPr>
        <w:ind w:left="1440" w:hanging="360"/>
      </w:pPr>
      <w:rPr>
        <w:rFonts w:ascii="Courier New" w:hAnsi="Courier New" w:hint="default"/>
      </w:rPr>
    </w:lvl>
    <w:lvl w:ilvl="2" w:tplc="7E8A0DD8">
      <w:start w:val="1"/>
      <w:numFmt w:val="bullet"/>
      <w:lvlText w:val=""/>
      <w:lvlJc w:val="left"/>
      <w:pPr>
        <w:ind w:left="2160" w:hanging="360"/>
      </w:pPr>
      <w:rPr>
        <w:rFonts w:ascii="Wingdings" w:hAnsi="Wingdings" w:hint="default"/>
      </w:rPr>
    </w:lvl>
    <w:lvl w:ilvl="3" w:tplc="5A549C30">
      <w:start w:val="1"/>
      <w:numFmt w:val="bullet"/>
      <w:lvlText w:val=""/>
      <w:lvlJc w:val="left"/>
      <w:pPr>
        <w:ind w:left="2880" w:hanging="360"/>
      </w:pPr>
      <w:rPr>
        <w:rFonts w:ascii="Symbol" w:hAnsi="Symbol" w:hint="default"/>
      </w:rPr>
    </w:lvl>
    <w:lvl w:ilvl="4" w:tplc="8850023E">
      <w:start w:val="1"/>
      <w:numFmt w:val="bullet"/>
      <w:lvlText w:val="o"/>
      <w:lvlJc w:val="left"/>
      <w:pPr>
        <w:ind w:left="3600" w:hanging="360"/>
      </w:pPr>
      <w:rPr>
        <w:rFonts w:ascii="Courier New" w:hAnsi="Courier New" w:hint="default"/>
      </w:rPr>
    </w:lvl>
    <w:lvl w:ilvl="5" w:tplc="71A2B774">
      <w:start w:val="1"/>
      <w:numFmt w:val="bullet"/>
      <w:lvlText w:val=""/>
      <w:lvlJc w:val="left"/>
      <w:pPr>
        <w:ind w:left="4320" w:hanging="360"/>
      </w:pPr>
      <w:rPr>
        <w:rFonts w:ascii="Wingdings" w:hAnsi="Wingdings" w:hint="default"/>
      </w:rPr>
    </w:lvl>
    <w:lvl w:ilvl="6" w:tplc="84E0EDB2">
      <w:start w:val="1"/>
      <w:numFmt w:val="bullet"/>
      <w:lvlText w:val=""/>
      <w:lvlJc w:val="left"/>
      <w:pPr>
        <w:ind w:left="5040" w:hanging="360"/>
      </w:pPr>
      <w:rPr>
        <w:rFonts w:ascii="Symbol" w:hAnsi="Symbol" w:hint="default"/>
      </w:rPr>
    </w:lvl>
    <w:lvl w:ilvl="7" w:tplc="528C3B3A">
      <w:start w:val="1"/>
      <w:numFmt w:val="bullet"/>
      <w:lvlText w:val="o"/>
      <w:lvlJc w:val="left"/>
      <w:pPr>
        <w:ind w:left="5760" w:hanging="360"/>
      </w:pPr>
      <w:rPr>
        <w:rFonts w:ascii="Courier New" w:hAnsi="Courier New" w:hint="default"/>
      </w:rPr>
    </w:lvl>
    <w:lvl w:ilvl="8" w:tplc="946C5D1E">
      <w:start w:val="1"/>
      <w:numFmt w:val="bullet"/>
      <w:lvlText w:val=""/>
      <w:lvlJc w:val="left"/>
      <w:pPr>
        <w:ind w:left="6480" w:hanging="360"/>
      </w:pPr>
      <w:rPr>
        <w:rFonts w:ascii="Wingdings" w:hAnsi="Wingdings" w:hint="default"/>
      </w:rPr>
    </w:lvl>
  </w:abstractNum>
  <w:abstractNum w:abstractNumId="9" w15:restartNumberingAfterBreak="0">
    <w:nsid w:val="38BE8BD6"/>
    <w:multiLevelType w:val="hybridMultilevel"/>
    <w:tmpl w:val="7E064BD8"/>
    <w:lvl w:ilvl="0" w:tplc="08D4144C">
      <w:start w:val="1"/>
      <w:numFmt w:val="bullet"/>
      <w:lvlText w:val="-"/>
      <w:lvlJc w:val="left"/>
      <w:pPr>
        <w:ind w:left="720" w:hanging="360"/>
      </w:pPr>
      <w:rPr>
        <w:rFonts w:ascii="Aptos" w:hAnsi="Aptos" w:hint="default"/>
      </w:rPr>
    </w:lvl>
    <w:lvl w:ilvl="1" w:tplc="FC1EAD6A">
      <w:start w:val="1"/>
      <w:numFmt w:val="bullet"/>
      <w:lvlText w:val="o"/>
      <w:lvlJc w:val="left"/>
      <w:pPr>
        <w:ind w:left="1440" w:hanging="360"/>
      </w:pPr>
      <w:rPr>
        <w:rFonts w:ascii="Courier New" w:hAnsi="Courier New" w:hint="default"/>
      </w:rPr>
    </w:lvl>
    <w:lvl w:ilvl="2" w:tplc="59300ADA">
      <w:start w:val="1"/>
      <w:numFmt w:val="bullet"/>
      <w:lvlText w:val=""/>
      <w:lvlJc w:val="left"/>
      <w:pPr>
        <w:ind w:left="2160" w:hanging="360"/>
      </w:pPr>
      <w:rPr>
        <w:rFonts w:ascii="Wingdings" w:hAnsi="Wingdings" w:hint="default"/>
      </w:rPr>
    </w:lvl>
    <w:lvl w:ilvl="3" w:tplc="8B5E25B6">
      <w:start w:val="1"/>
      <w:numFmt w:val="bullet"/>
      <w:lvlText w:val=""/>
      <w:lvlJc w:val="left"/>
      <w:pPr>
        <w:ind w:left="2880" w:hanging="360"/>
      </w:pPr>
      <w:rPr>
        <w:rFonts w:ascii="Symbol" w:hAnsi="Symbol" w:hint="default"/>
      </w:rPr>
    </w:lvl>
    <w:lvl w:ilvl="4" w:tplc="305223F2">
      <w:start w:val="1"/>
      <w:numFmt w:val="bullet"/>
      <w:lvlText w:val="o"/>
      <w:lvlJc w:val="left"/>
      <w:pPr>
        <w:ind w:left="3600" w:hanging="360"/>
      </w:pPr>
      <w:rPr>
        <w:rFonts w:ascii="Courier New" w:hAnsi="Courier New" w:hint="default"/>
      </w:rPr>
    </w:lvl>
    <w:lvl w:ilvl="5" w:tplc="739A7EFC">
      <w:start w:val="1"/>
      <w:numFmt w:val="bullet"/>
      <w:lvlText w:val=""/>
      <w:lvlJc w:val="left"/>
      <w:pPr>
        <w:ind w:left="4320" w:hanging="360"/>
      </w:pPr>
      <w:rPr>
        <w:rFonts w:ascii="Wingdings" w:hAnsi="Wingdings" w:hint="default"/>
      </w:rPr>
    </w:lvl>
    <w:lvl w:ilvl="6" w:tplc="1E2266CC">
      <w:start w:val="1"/>
      <w:numFmt w:val="bullet"/>
      <w:lvlText w:val=""/>
      <w:lvlJc w:val="left"/>
      <w:pPr>
        <w:ind w:left="5040" w:hanging="360"/>
      </w:pPr>
      <w:rPr>
        <w:rFonts w:ascii="Symbol" w:hAnsi="Symbol" w:hint="default"/>
      </w:rPr>
    </w:lvl>
    <w:lvl w:ilvl="7" w:tplc="130AEDB6">
      <w:start w:val="1"/>
      <w:numFmt w:val="bullet"/>
      <w:lvlText w:val="o"/>
      <w:lvlJc w:val="left"/>
      <w:pPr>
        <w:ind w:left="5760" w:hanging="360"/>
      </w:pPr>
      <w:rPr>
        <w:rFonts w:ascii="Courier New" w:hAnsi="Courier New" w:hint="default"/>
      </w:rPr>
    </w:lvl>
    <w:lvl w:ilvl="8" w:tplc="03D2C9DC">
      <w:start w:val="1"/>
      <w:numFmt w:val="bullet"/>
      <w:lvlText w:val=""/>
      <w:lvlJc w:val="left"/>
      <w:pPr>
        <w:ind w:left="6480" w:hanging="360"/>
      </w:pPr>
      <w:rPr>
        <w:rFonts w:ascii="Wingdings" w:hAnsi="Wingdings" w:hint="default"/>
      </w:rPr>
    </w:lvl>
  </w:abstractNum>
  <w:abstractNum w:abstractNumId="10" w15:restartNumberingAfterBreak="0">
    <w:nsid w:val="3C2525B9"/>
    <w:multiLevelType w:val="multilevel"/>
    <w:tmpl w:val="B5A634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0105942"/>
    <w:multiLevelType w:val="hybridMultilevel"/>
    <w:tmpl w:val="EF9A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A4BEA"/>
    <w:multiLevelType w:val="hybridMultilevel"/>
    <w:tmpl w:val="8946B6DC"/>
    <w:lvl w:ilvl="0" w:tplc="ABF4394C">
      <w:start w:val="1"/>
      <w:numFmt w:val="bullet"/>
      <w:lvlText w:val="-"/>
      <w:lvlJc w:val="left"/>
      <w:pPr>
        <w:ind w:left="720" w:hanging="360"/>
      </w:pPr>
      <w:rPr>
        <w:rFonts w:ascii="Aptos" w:hAnsi="Aptos" w:hint="default"/>
      </w:rPr>
    </w:lvl>
    <w:lvl w:ilvl="1" w:tplc="9A68F892">
      <w:start w:val="1"/>
      <w:numFmt w:val="bullet"/>
      <w:lvlText w:val="o"/>
      <w:lvlJc w:val="left"/>
      <w:pPr>
        <w:ind w:left="1440" w:hanging="360"/>
      </w:pPr>
      <w:rPr>
        <w:rFonts w:ascii="Courier New" w:hAnsi="Courier New" w:hint="default"/>
      </w:rPr>
    </w:lvl>
    <w:lvl w:ilvl="2" w:tplc="ABB8487E">
      <w:start w:val="1"/>
      <w:numFmt w:val="bullet"/>
      <w:lvlText w:val=""/>
      <w:lvlJc w:val="left"/>
      <w:pPr>
        <w:ind w:left="2160" w:hanging="360"/>
      </w:pPr>
      <w:rPr>
        <w:rFonts w:ascii="Wingdings" w:hAnsi="Wingdings" w:hint="default"/>
      </w:rPr>
    </w:lvl>
    <w:lvl w:ilvl="3" w:tplc="8A48629C">
      <w:start w:val="1"/>
      <w:numFmt w:val="bullet"/>
      <w:lvlText w:val=""/>
      <w:lvlJc w:val="left"/>
      <w:pPr>
        <w:ind w:left="2880" w:hanging="360"/>
      </w:pPr>
      <w:rPr>
        <w:rFonts w:ascii="Symbol" w:hAnsi="Symbol" w:hint="default"/>
      </w:rPr>
    </w:lvl>
    <w:lvl w:ilvl="4" w:tplc="89D2C6B8">
      <w:start w:val="1"/>
      <w:numFmt w:val="bullet"/>
      <w:lvlText w:val="o"/>
      <w:lvlJc w:val="left"/>
      <w:pPr>
        <w:ind w:left="3600" w:hanging="360"/>
      </w:pPr>
      <w:rPr>
        <w:rFonts w:ascii="Courier New" w:hAnsi="Courier New" w:hint="default"/>
      </w:rPr>
    </w:lvl>
    <w:lvl w:ilvl="5" w:tplc="0142AEB2">
      <w:start w:val="1"/>
      <w:numFmt w:val="bullet"/>
      <w:lvlText w:val=""/>
      <w:lvlJc w:val="left"/>
      <w:pPr>
        <w:ind w:left="4320" w:hanging="360"/>
      </w:pPr>
      <w:rPr>
        <w:rFonts w:ascii="Wingdings" w:hAnsi="Wingdings" w:hint="default"/>
      </w:rPr>
    </w:lvl>
    <w:lvl w:ilvl="6" w:tplc="9124BEA4">
      <w:start w:val="1"/>
      <w:numFmt w:val="bullet"/>
      <w:lvlText w:val=""/>
      <w:lvlJc w:val="left"/>
      <w:pPr>
        <w:ind w:left="5040" w:hanging="360"/>
      </w:pPr>
      <w:rPr>
        <w:rFonts w:ascii="Symbol" w:hAnsi="Symbol" w:hint="default"/>
      </w:rPr>
    </w:lvl>
    <w:lvl w:ilvl="7" w:tplc="415E08F6">
      <w:start w:val="1"/>
      <w:numFmt w:val="bullet"/>
      <w:lvlText w:val="o"/>
      <w:lvlJc w:val="left"/>
      <w:pPr>
        <w:ind w:left="5760" w:hanging="360"/>
      </w:pPr>
      <w:rPr>
        <w:rFonts w:ascii="Courier New" w:hAnsi="Courier New" w:hint="default"/>
      </w:rPr>
    </w:lvl>
    <w:lvl w:ilvl="8" w:tplc="458C68CE">
      <w:start w:val="1"/>
      <w:numFmt w:val="bullet"/>
      <w:lvlText w:val=""/>
      <w:lvlJc w:val="left"/>
      <w:pPr>
        <w:ind w:left="6480" w:hanging="360"/>
      </w:pPr>
      <w:rPr>
        <w:rFonts w:ascii="Wingdings" w:hAnsi="Wingdings" w:hint="default"/>
      </w:rPr>
    </w:lvl>
  </w:abstractNum>
  <w:abstractNum w:abstractNumId="13" w15:restartNumberingAfterBreak="0">
    <w:nsid w:val="49AB64AD"/>
    <w:multiLevelType w:val="hybridMultilevel"/>
    <w:tmpl w:val="347C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135B7"/>
    <w:multiLevelType w:val="hybridMultilevel"/>
    <w:tmpl w:val="D494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47C2D"/>
    <w:multiLevelType w:val="hybridMultilevel"/>
    <w:tmpl w:val="2E4E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01696"/>
    <w:multiLevelType w:val="hybridMultilevel"/>
    <w:tmpl w:val="1844459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23C3600"/>
    <w:multiLevelType w:val="hybridMultilevel"/>
    <w:tmpl w:val="D85031B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82726181">
    <w:abstractNumId w:val="8"/>
  </w:num>
  <w:num w:numId="2" w16cid:durableId="1618675851">
    <w:abstractNumId w:val="1"/>
  </w:num>
  <w:num w:numId="3" w16cid:durableId="804351991">
    <w:abstractNumId w:val="9"/>
  </w:num>
  <w:num w:numId="4" w16cid:durableId="194318145">
    <w:abstractNumId w:val="12"/>
  </w:num>
  <w:num w:numId="5" w16cid:durableId="446966231">
    <w:abstractNumId w:val="6"/>
  </w:num>
  <w:num w:numId="6" w16cid:durableId="1382435904">
    <w:abstractNumId w:val="4"/>
  </w:num>
  <w:num w:numId="7" w16cid:durableId="1500387150">
    <w:abstractNumId w:val="5"/>
  </w:num>
  <w:num w:numId="8" w16cid:durableId="235552050">
    <w:abstractNumId w:val="15"/>
  </w:num>
  <w:num w:numId="9" w16cid:durableId="571814008">
    <w:abstractNumId w:val="3"/>
  </w:num>
  <w:num w:numId="10" w16cid:durableId="1227649453">
    <w:abstractNumId w:val="13"/>
  </w:num>
  <w:num w:numId="11" w16cid:durableId="821964904">
    <w:abstractNumId w:val="11"/>
  </w:num>
  <w:num w:numId="12" w16cid:durableId="1629891741">
    <w:abstractNumId w:val="10"/>
  </w:num>
  <w:num w:numId="13" w16cid:durableId="362558697">
    <w:abstractNumId w:val="2"/>
  </w:num>
  <w:num w:numId="14" w16cid:durableId="1458789846">
    <w:abstractNumId w:val="7"/>
  </w:num>
  <w:num w:numId="15" w16cid:durableId="715931807">
    <w:abstractNumId w:val="14"/>
  </w:num>
  <w:num w:numId="16" w16cid:durableId="1918053195">
    <w:abstractNumId w:val="0"/>
  </w:num>
  <w:num w:numId="17" w16cid:durableId="1713267574">
    <w:abstractNumId w:val="17"/>
  </w:num>
  <w:num w:numId="18" w16cid:durableId="44643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DC"/>
    <w:rsid w:val="00015E53"/>
    <w:rsid w:val="00017AFC"/>
    <w:rsid w:val="0007066E"/>
    <w:rsid w:val="000A4F99"/>
    <w:rsid w:val="00106E0C"/>
    <w:rsid w:val="0012639B"/>
    <w:rsid w:val="001B71A5"/>
    <w:rsid w:val="001F31D8"/>
    <w:rsid w:val="002013B6"/>
    <w:rsid w:val="002033EF"/>
    <w:rsid w:val="0027270A"/>
    <w:rsid w:val="0028555A"/>
    <w:rsid w:val="002A0018"/>
    <w:rsid w:val="002B5062"/>
    <w:rsid w:val="002B5C20"/>
    <w:rsid w:val="003154CF"/>
    <w:rsid w:val="00337360"/>
    <w:rsid w:val="003638E2"/>
    <w:rsid w:val="003811D2"/>
    <w:rsid w:val="00432E4B"/>
    <w:rsid w:val="00436CFB"/>
    <w:rsid w:val="00437C67"/>
    <w:rsid w:val="00452CCA"/>
    <w:rsid w:val="004636E9"/>
    <w:rsid w:val="004E4E0F"/>
    <w:rsid w:val="00556949"/>
    <w:rsid w:val="005A56DB"/>
    <w:rsid w:val="005B6AB2"/>
    <w:rsid w:val="006C5E8D"/>
    <w:rsid w:val="006F6F3E"/>
    <w:rsid w:val="00727DDA"/>
    <w:rsid w:val="007344C3"/>
    <w:rsid w:val="00751749"/>
    <w:rsid w:val="007570C9"/>
    <w:rsid w:val="007618AB"/>
    <w:rsid w:val="007C221B"/>
    <w:rsid w:val="00823573"/>
    <w:rsid w:val="00842697"/>
    <w:rsid w:val="008701E5"/>
    <w:rsid w:val="008D083A"/>
    <w:rsid w:val="008E77FB"/>
    <w:rsid w:val="009269DC"/>
    <w:rsid w:val="00942A11"/>
    <w:rsid w:val="00966C6F"/>
    <w:rsid w:val="00971A90"/>
    <w:rsid w:val="009A2DA0"/>
    <w:rsid w:val="009F2492"/>
    <w:rsid w:val="00A15258"/>
    <w:rsid w:val="00A473D0"/>
    <w:rsid w:val="00AD2F12"/>
    <w:rsid w:val="00AE289D"/>
    <w:rsid w:val="00B20CFC"/>
    <w:rsid w:val="00B46446"/>
    <w:rsid w:val="00C0767C"/>
    <w:rsid w:val="00C9488C"/>
    <w:rsid w:val="00C95806"/>
    <w:rsid w:val="00CD00F0"/>
    <w:rsid w:val="00CE0BFC"/>
    <w:rsid w:val="00CE30F4"/>
    <w:rsid w:val="00DD481F"/>
    <w:rsid w:val="00DF4688"/>
    <w:rsid w:val="00DF48B9"/>
    <w:rsid w:val="00E84F86"/>
    <w:rsid w:val="00EC0D2A"/>
    <w:rsid w:val="00F21E85"/>
    <w:rsid w:val="00F405F7"/>
    <w:rsid w:val="00FB4D48"/>
    <w:rsid w:val="00FB5DCF"/>
    <w:rsid w:val="00FC12A0"/>
    <w:rsid w:val="00FE452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24F6"/>
  <w15:docId w15:val="{D8621486-6CA0-4093-BF51-199CA33C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9DC"/>
    <w:pPr>
      <w:spacing w:before="100"/>
    </w:pPr>
    <w:rPr>
      <w:rFonts w:eastAsiaTheme="minorEastAsia"/>
      <w:sz w:val="20"/>
      <w:szCs w:val="20"/>
      <w:lang w:val="en-US"/>
    </w:rPr>
  </w:style>
  <w:style w:type="paragraph" w:styleId="Heading1">
    <w:name w:val="heading 1"/>
    <w:basedOn w:val="Normal"/>
    <w:next w:val="Normal"/>
    <w:link w:val="Heading1Char"/>
    <w:uiPriority w:val="9"/>
    <w:qFormat/>
    <w:rsid w:val="009269D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269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1A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971A9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AFC"/>
  </w:style>
  <w:style w:type="paragraph" w:styleId="Footer">
    <w:name w:val="footer"/>
    <w:basedOn w:val="Normal"/>
    <w:link w:val="FooterChar"/>
    <w:uiPriority w:val="99"/>
    <w:unhideWhenUsed/>
    <w:rsid w:val="00017A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AFC"/>
  </w:style>
  <w:style w:type="paragraph" w:styleId="BalloonText">
    <w:name w:val="Balloon Text"/>
    <w:basedOn w:val="Normal"/>
    <w:link w:val="BalloonTextChar"/>
    <w:uiPriority w:val="99"/>
    <w:semiHidden/>
    <w:unhideWhenUsed/>
    <w:rsid w:val="008D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83A"/>
    <w:rPr>
      <w:rFonts w:ascii="Tahoma" w:hAnsi="Tahoma" w:cs="Tahoma"/>
      <w:sz w:val="16"/>
      <w:szCs w:val="16"/>
      <w:lang w:val="en-US"/>
    </w:rPr>
  </w:style>
  <w:style w:type="paragraph" w:customStyle="1" w:styleId="AdressTextMasterPageStyles">
    <w:name w:val="Adress Text (Master Page Styles)"/>
    <w:basedOn w:val="Normal"/>
    <w:uiPriority w:val="99"/>
    <w:rsid w:val="008D083A"/>
    <w:pPr>
      <w:autoSpaceDE w:val="0"/>
      <w:autoSpaceDN w:val="0"/>
      <w:adjustRightInd w:val="0"/>
      <w:spacing w:after="0" w:line="180" w:lineRule="atLeast"/>
      <w:textAlignment w:val="center"/>
    </w:pPr>
    <w:rPr>
      <w:rFonts w:ascii="Arial" w:hAnsi="Arial"/>
      <w:color w:val="696A6C"/>
      <w:sz w:val="14"/>
      <w:szCs w:val="14"/>
      <w:lang w:val="en-GB"/>
    </w:rPr>
  </w:style>
  <w:style w:type="paragraph" w:customStyle="1" w:styleId="AdressTitleMasterPageStyles">
    <w:name w:val="Adress Title (Master Page Styles)"/>
    <w:basedOn w:val="AdressTextMasterPageStyles"/>
    <w:uiPriority w:val="99"/>
    <w:rsid w:val="008D083A"/>
    <w:pPr>
      <w:spacing w:line="200" w:lineRule="atLeast"/>
    </w:pPr>
    <w:rPr>
      <w:b/>
      <w:bCs/>
      <w:sz w:val="16"/>
      <w:szCs w:val="16"/>
    </w:rPr>
  </w:style>
  <w:style w:type="paragraph" w:customStyle="1" w:styleId="BasicParagraph">
    <w:name w:val="[Basic Paragraph]"/>
    <w:basedOn w:val="Normal"/>
    <w:uiPriority w:val="99"/>
    <w:rsid w:val="008D083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WebPageMasterPageStyles">
    <w:name w:val="Web Page (Master Page Styles)"/>
    <w:basedOn w:val="AdressTextMasterPageStyles"/>
    <w:uiPriority w:val="99"/>
    <w:rsid w:val="008D083A"/>
    <w:pPr>
      <w:jc w:val="right"/>
    </w:pPr>
    <w:rPr>
      <w:color w:val="569BBD"/>
    </w:rPr>
  </w:style>
  <w:style w:type="character" w:customStyle="1" w:styleId="Heading1Char">
    <w:name w:val="Heading 1 Char"/>
    <w:basedOn w:val="DefaultParagraphFont"/>
    <w:link w:val="Heading1"/>
    <w:uiPriority w:val="9"/>
    <w:rsid w:val="009269DC"/>
    <w:rPr>
      <w:rFonts w:eastAsiaTheme="minorEastAsia"/>
      <w:caps/>
      <w:color w:val="FFFFFF" w:themeColor="background1"/>
      <w:spacing w:val="15"/>
      <w:shd w:val="clear" w:color="auto" w:fill="4F81BD" w:themeFill="accent1"/>
      <w:lang w:val="en-US"/>
    </w:rPr>
  </w:style>
  <w:style w:type="paragraph" w:styleId="ListParagraph">
    <w:name w:val="List Paragraph"/>
    <w:basedOn w:val="Normal"/>
    <w:uiPriority w:val="34"/>
    <w:qFormat/>
    <w:rsid w:val="009269DC"/>
    <w:pPr>
      <w:ind w:left="720"/>
      <w:contextualSpacing/>
    </w:pPr>
  </w:style>
  <w:style w:type="paragraph" w:styleId="TOCHeading">
    <w:name w:val="TOC Heading"/>
    <w:basedOn w:val="Heading1"/>
    <w:next w:val="Normal"/>
    <w:uiPriority w:val="39"/>
    <w:unhideWhenUsed/>
    <w:qFormat/>
    <w:rsid w:val="009269DC"/>
    <w:pPr>
      <w:outlineLvl w:val="9"/>
    </w:pPr>
  </w:style>
  <w:style w:type="paragraph" w:styleId="TOC1">
    <w:name w:val="toc 1"/>
    <w:basedOn w:val="Normal"/>
    <w:next w:val="Normal"/>
    <w:autoRedefine/>
    <w:uiPriority w:val="39"/>
    <w:unhideWhenUsed/>
    <w:rsid w:val="009269DC"/>
    <w:pPr>
      <w:spacing w:after="100"/>
    </w:pPr>
  </w:style>
  <w:style w:type="character" w:styleId="Hyperlink">
    <w:name w:val="Hyperlink"/>
    <w:basedOn w:val="DefaultParagraphFont"/>
    <w:uiPriority w:val="99"/>
    <w:unhideWhenUsed/>
    <w:rsid w:val="009269DC"/>
    <w:rPr>
      <w:color w:val="0000FF" w:themeColor="hyperlink"/>
      <w:u w:val="single"/>
    </w:rPr>
  </w:style>
  <w:style w:type="character" w:customStyle="1" w:styleId="Heading2Char">
    <w:name w:val="Heading 2 Char"/>
    <w:basedOn w:val="DefaultParagraphFont"/>
    <w:link w:val="Heading2"/>
    <w:uiPriority w:val="9"/>
    <w:rsid w:val="009269DC"/>
    <w:rPr>
      <w:rFonts w:asciiTheme="majorHAnsi" w:eastAsiaTheme="majorEastAsia" w:hAnsiTheme="majorHAnsi" w:cstheme="majorBidi"/>
      <w:color w:val="365F91" w:themeColor="accent1" w:themeShade="BF"/>
      <w:sz w:val="26"/>
      <w:szCs w:val="26"/>
      <w:lang w:val="en-US"/>
    </w:rPr>
  </w:style>
  <w:style w:type="paragraph" w:styleId="Title">
    <w:name w:val="Title"/>
    <w:basedOn w:val="Normal"/>
    <w:next w:val="Normal"/>
    <w:link w:val="TitleChar"/>
    <w:uiPriority w:val="10"/>
    <w:qFormat/>
    <w:rsid w:val="00971A9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A90"/>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rsid w:val="00971A90"/>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971A90"/>
    <w:rPr>
      <w:rFonts w:asciiTheme="majorHAnsi" w:eastAsiaTheme="majorEastAsia" w:hAnsiTheme="majorHAnsi" w:cstheme="majorBidi"/>
      <w:color w:val="243F60" w:themeColor="accent1" w:themeShade="7F"/>
      <w:sz w:val="20"/>
      <w:szCs w:val="20"/>
      <w:lang w:val="en-US"/>
    </w:rPr>
  </w:style>
  <w:style w:type="character" w:styleId="UnresolvedMention">
    <w:name w:val="Unresolved Mention"/>
    <w:basedOn w:val="DefaultParagraphFont"/>
    <w:uiPriority w:val="99"/>
    <w:semiHidden/>
    <w:unhideWhenUsed/>
    <w:rsid w:val="00E84F86"/>
    <w:rPr>
      <w:color w:val="605E5C"/>
      <w:shd w:val="clear" w:color="auto" w:fill="E1DFDD"/>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eastAsiaTheme="minorEastAsia"/>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TOC3">
    <w:name w:val="toc 3"/>
    <w:basedOn w:val="Normal"/>
    <w:next w:val="Normal"/>
    <w:autoRedefine/>
    <w:uiPriority w:val="39"/>
    <w:unhideWhenUsed/>
    <w:rsid w:val="00DF48B9"/>
    <w:pPr>
      <w:tabs>
        <w:tab w:val="right" w:leader="dot" w:pos="10194"/>
      </w:tabs>
      <w:spacing w:after="100"/>
    </w:pPr>
    <w:rPr>
      <w:noProof/>
      <w:color w:val="696A6D"/>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9677">
      <w:bodyDiv w:val="1"/>
      <w:marLeft w:val="0"/>
      <w:marRight w:val="0"/>
      <w:marTop w:val="0"/>
      <w:marBottom w:val="0"/>
      <w:divBdr>
        <w:top w:val="none" w:sz="0" w:space="0" w:color="auto"/>
        <w:left w:val="none" w:sz="0" w:space="0" w:color="auto"/>
        <w:bottom w:val="none" w:sz="0" w:space="0" w:color="auto"/>
        <w:right w:val="none" w:sz="0" w:space="0" w:color="auto"/>
      </w:divBdr>
    </w:div>
    <w:div w:id="477113149">
      <w:bodyDiv w:val="1"/>
      <w:marLeft w:val="0"/>
      <w:marRight w:val="0"/>
      <w:marTop w:val="0"/>
      <w:marBottom w:val="0"/>
      <w:divBdr>
        <w:top w:val="none" w:sz="0" w:space="0" w:color="auto"/>
        <w:left w:val="none" w:sz="0" w:space="0" w:color="auto"/>
        <w:bottom w:val="none" w:sz="0" w:space="0" w:color="auto"/>
        <w:right w:val="none" w:sz="0" w:space="0" w:color="auto"/>
      </w:divBdr>
    </w:div>
    <w:div w:id="776485738">
      <w:bodyDiv w:val="1"/>
      <w:marLeft w:val="0"/>
      <w:marRight w:val="0"/>
      <w:marTop w:val="0"/>
      <w:marBottom w:val="0"/>
      <w:divBdr>
        <w:top w:val="none" w:sz="0" w:space="0" w:color="auto"/>
        <w:left w:val="none" w:sz="0" w:space="0" w:color="auto"/>
        <w:bottom w:val="none" w:sz="0" w:space="0" w:color="auto"/>
        <w:right w:val="none" w:sz="0" w:space="0" w:color="auto"/>
      </w:divBdr>
    </w:div>
    <w:div w:id="939869278">
      <w:bodyDiv w:val="1"/>
      <w:marLeft w:val="0"/>
      <w:marRight w:val="0"/>
      <w:marTop w:val="0"/>
      <w:marBottom w:val="0"/>
      <w:divBdr>
        <w:top w:val="none" w:sz="0" w:space="0" w:color="auto"/>
        <w:left w:val="none" w:sz="0" w:space="0" w:color="auto"/>
        <w:bottom w:val="none" w:sz="0" w:space="0" w:color="auto"/>
        <w:right w:val="none" w:sz="0" w:space="0" w:color="auto"/>
      </w:divBdr>
    </w:div>
    <w:div w:id="949430211">
      <w:bodyDiv w:val="1"/>
      <w:marLeft w:val="0"/>
      <w:marRight w:val="0"/>
      <w:marTop w:val="0"/>
      <w:marBottom w:val="0"/>
      <w:divBdr>
        <w:top w:val="none" w:sz="0" w:space="0" w:color="auto"/>
        <w:left w:val="none" w:sz="0" w:space="0" w:color="auto"/>
        <w:bottom w:val="none" w:sz="0" w:space="0" w:color="auto"/>
        <w:right w:val="none" w:sz="0" w:space="0" w:color="auto"/>
      </w:divBdr>
    </w:div>
    <w:div w:id="1059478194">
      <w:bodyDiv w:val="1"/>
      <w:marLeft w:val="0"/>
      <w:marRight w:val="0"/>
      <w:marTop w:val="0"/>
      <w:marBottom w:val="0"/>
      <w:divBdr>
        <w:top w:val="none" w:sz="0" w:space="0" w:color="auto"/>
        <w:left w:val="none" w:sz="0" w:space="0" w:color="auto"/>
        <w:bottom w:val="none" w:sz="0" w:space="0" w:color="auto"/>
        <w:right w:val="none" w:sz="0" w:space="0" w:color="auto"/>
      </w:divBdr>
    </w:div>
    <w:div w:id="1264416433">
      <w:bodyDiv w:val="1"/>
      <w:marLeft w:val="0"/>
      <w:marRight w:val="0"/>
      <w:marTop w:val="0"/>
      <w:marBottom w:val="0"/>
      <w:divBdr>
        <w:top w:val="none" w:sz="0" w:space="0" w:color="auto"/>
        <w:left w:val="none" w:sz="0" w:space="0" w:color="auto"/>
        <w:bottom w:val="none" w:sz="0" w:space="0" w:color="auto"/>
        <w:right w:val="none" w:sz="0" w:space="0" w:color="auto"/>
      </w:divBdr>
    </w:div>
    <w:div w:id="1443307809">
      <w:bodyDiv w:val="1"/>
      <w:marLeft w:val="0"/>
      <w:marRight w:val="0"/>
      <w:marTop w:val="0"/>
      <w:marBottom w:val="0"/>
      <w:divBdr>
        <w:top w:val="none" w:sz="0" w:space="0" w:color="auto"/>
        <w:left w:val="none" w:sz="0" w:space="0" w:color="auto"/>
        <w:bottom w:val="none" w:sz="0" w:space="0" w:color="auto"/>
        <w:right w:val="none" w:sz="0" w:space="0" w:color="auto"/>
      </w:divBdr>
    </w:div>
    <w:div w:id="1455834049">
      <w:bodyDiv w:val="1"/>
      <w:marLeft w:val="0"/>
      <w:marRight w:val="0"/>
      <w:marTop w:val="0"/>
      <w:marBottom w:val="0"/>
      <w:divBdr>
        <w:top w:val="none" w:sz="0" w:space="0" w:color="auto"/>
        <w:left w:val="none" w:sz="0" w:space="0" w:color="auto"/>
        <w:bottom w:val="none" w:sz="0" w:space="0" w:color="auto"/>
        <w:right w:val="none" w:sz="0" w:space="0" w:color="auto"/>
      </w:divBdr>
      <w:divsChild>
        <w:div w:id="520512955">
          <w:marLeft w:val="0"/>
          <w:marRight w:val="0"/>
          <w:marTop w:val="0"/>
          <w:marBottom w:val="0"/>
          <w:divBdr>
            <w:top w:val="none" w:sz="0" w:space="0" w:color="auto"/>
            <w:left w:val="none" w:sz="0" w:space="0" w:color="auto"/>
            <w:bottom w:val="none" w:sz="0" w:space="0" w:color="auto"/>
            <w:right w:val="none" w:sz="0" w:space="0" w:color="auto"/>
          </w:divBdr>
          <w:divsChild>
            <w:div w:id="1241603646">
              <w:marLeft w:val="0"/>
              <w:marRight w:val="0"/>
              <w:marTop w:val="0"/>
              <w:marBottom w:val="0"/>
              <w:divBdr>
                <w:top w:val="none" w:sz="0" w:space="0" w:color="auto"/>
                <w:left w:val="none" w:sz="0" w:space="0" w:color="auto"/>
                <w:bottom w:val="none" w:sz="0" w:space="0" w:color="auto"/>
                <w:right w:val="none" w:sz="0" w:space="0" w:color="auto"/>
              </w:divBdr>
              <w:divsChild>
                <w:div w:id="1853832642">
                  <w:marLeft w:val="0"/>
                  <w:marRight w:val="0"/>
                  <w:marTop w:val="0"/>
                  <w:marBottom w:val="0"/>
                  <w:divBdr>
                    <w:top w:val="none" w:sz="0" w:space="0" w:color="auto"/>
                    <w:left w:val="none" w:sz="0" w:space="0" w:color="auto"/>
                    <w:bottom w:val="none" w:sz="0" w:space="0" w:color="auto"/>
                    <w:right w:val="none" w:sz="0" w:space="0" w:color="auto"/>
                  </w:divBdr>
                  <w:divsChild>
                    <w:div w:id="340281178">
                      <w:marLeft w:val="0"/>
                      <w:marRight w:val="0"/>
                      <w:marTop w:val="0"/>
                      <w:marBottom w:val="0"/>
                      <w:divBdr>
                        <w:top w:val="none" w:sz="0" w:space="0" w:color="auto"/>
                        <w:left w:val="none" w:sz="0" w:space="0" w:color="auto"/>
                        <w:bottom w:val="none" w:sz="0" w:space="0" w:color="auto"/>
                        <w:right w:val="none" w:sz="0" w:space="0" w:color="auto"/>
                      </w:divBdr>
                      <w:divsChild>
                        <w:div w:id="4209862">
                          <w:marLeft w:val="0"/>
                          <w:marRight w:val="0"/>
                          <w:marTop w:val="0"/>
                          <w:marBottom w:val="0"/>
                          <w:divBdr>
                            <w:top w:val="none" w:sz="0" w:space="0" w:color="auto"/>
                            <w:left w:val="none" w:sz="0" w:space="0" w:color="auto"/>
                            <w:bottom w:val="none" w:sz="0" w:space="0" w:color="auto"/>
                            <w:right w:val="none" w:sz="0" w:space="0" w:color="auto"/>
                          </w:divBdr>
                          <w:divsChild>
                            <w:div w:id="1825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29805">
      <w:bodyDiv w:val="1"/>
      <w:marLeft w:val="0"/>
      <w:marRight w:val="0"/>
      <w:marTop w:val="0"/>
      <w:marBottom w:val="0"/>
      <w:divBdr>
        <w:top w:val="none" w:sz="0" w:space="0" w:color="auto"/>
        <w:left w:val="none" w:sz="0" w:space="0" w:color="auto"/>
        <w:bottom w:val="none" w:sz="0" w:space="0" w:color="auto"/>
        <w:right w:val="none" w:sz="0" w:space="0" w:color="auto"/>
      </w:divBdr>
      <w:divsChild>
        <w:div w:id="360283711">
          <w:marLeft w:val="0"/>
          <w:marRight w:val="0"/>
          <w:marTop w:val="0"/>
          <w:marBottom w:val="0"/>
          <w:divBdr>
            <w:top w:val="none" w:sz="0" w:space="0" w:color="auto"/>
            <w:left w:val="none" w:sz="0" w:space="0" w:color="auto"/>
            <w:bottom w:val="none" w:sz="0" w:space="0" w:color="auto"/>
            <w:right w:val="none" w:sz="0" w:space="0" w:color="auto"/>
          </w:divBdr>
          <w:divsChild>
            <w:div w:id="1099638534">
              <w:marLeft w:val="0"/>
              <w:marRight w:val="0"/>
              <w:marTop w:val="0"/>
              <w:marBottom w:val="0"/>
              <w:divBdr>
                <w:top w:val="none" w:sz="0" w:space="0" w:color="auto"/>
                <w:left w:val="none" w:sz="0" w:space="0" w:color="auto"/>
                <w:bottom w:val="none" w:sz="0" w:space="0" w:color="auto"/>
                <w:right w:val="none" w:sz="0" w:space="0" w:color="auto"/>
              </w:divBdr>
              <w:divsChild>
                <w:div w:id="280653039">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791315435">
                          <w:marLeft w:val="0"/>
                          <w:marRight w:val="0"/>
                          <w:marTop w:val="0"/>
                          <w:marBottom w:val="0"/>
                          <w:divBdr>
                            <w:top w:val="none" w:sz="0" w:space="0" w:color="auto"/>
                            <w:left w:val="none" w:sz="0" w:space="0" w:color="auto"/>
                            <w:bottom w:val="none" w:sz="0" w:space="0" w:color="auto"/>
                            <w:right w:val="none" w:sz="0" w:space="0" w:color="auto"/>
                          </w:divBdr>
                          <w:divsChild>
                            <w:div w:id="11780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90087">
      <w:bodyDiv w:val="1"/>
      <w:marLeft w:val="0"/>
      <w:marRight w:val="0"/>
      <w:marTop w:val="0"/>
      <w:marBottom w:val="0"/>
      <w:divBdr>
        <w:top w:val="none" w:sz="0" w:space="0" w:color="auto"/>
        <w:left w:val="none" w:sz="0" w:space="0" w:color="auto"/>
        <w:bottom w:val="none" w:sz="0" w:space="0" w:color="auto"/>
        <w:right w:val="none" w:sz="0" w:space="0" w:color="auto"/>
      </w:divBdr>
    </w:div>
    <w:div w:id="1992901021">
      <w:bodyDiv w:val="1"/>
      <w:marLeft w:val="0"/>
      <w:marRight w:val="0"/>
      <w:marTop w:val="0"/>
      <w:marBottom w:val="0"/>
      <w:divBdr>
        <w:top w:val="none" w:sz="0" w:space="0" w:color="auto"/>
        <w:left w:val="none" w:sz="0" w:space="0" w:color="auto"/>
        <w:bottom w:val="none" w:sz="0" w:space="0" w:color="auto"/>
        <w:right w:val="none" w:sz="0" w:space="0" w:color="auto"/>
      </w:divBdr>
    </w:div>
    <w:div w:id="2081636382">
      <w:bodyDiv w:val="1"/>
      <w:marLeft w:val="0"/>
      <w:marRight w:val="0"/>
      <w:marTop w:val="0"/>
      <w:marBottom w:val="0"/>
      <w:divBdr>
        <w:top w:val="none" w:sz="0" w:space="0" w:color="auto"/>
        <w:left w:val="none" w:sz="0" w:space="0" w:color="auto"/>
        <w:bottom w:val="none" w:sz="0" w:space="0" w:color="auto"/>
        <w:right w:val="none" w:sz="0" w:space="0" w:color="auto"/>
      </w:divBdr>
    </w:div>
    <w:div w:id="21127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mko.com/nemkofond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emko.com/nemkofond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o365nemko.sharepoint.com/sites/assets/templates/Nemko_documen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1B3234794FD64181B8B854311E72B6" ma:contentTypeVersion="9" ma:contentTypeDescription="Create a new document." ma:contentTypeScope="" ma:versionID="05a254135b8d7c3124ef0f2c8f350381">
  <xsd:schema xmlns:xsd="http://www.w3.org/2001/XMLSchema" xmlns:xs="http://www.w3.org/2001/XMLSchema" xmlns:p="http://schemas.microsoft.com/office/2006/metadata/properties" xmlns:ns2="a2429d79-6c38-4e0e-9129-84536948ebd7" xmlns:ns3="cde4efbc-5e5f-46de-9df8-c82c579a3539" targetNamespace="http://schemas.microsoft.com/office/2006/metadata/properties" ma:root="true" ma:fieldsID="319ccebdd36264c42e3e5a484bc03737" ns2:_="" ns3:_="">
    <xsd:import namespace="a2429d79-6c38-4e0e-9129-84536948ebd7"/>
    <xsd:import namespace="cde4efbc-5e5f-46de-9df8-c82c579a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29d79-6c38-4e0e-9129-84536948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2835cc-15a6-4435-878c-6243132c46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4efbc-5e5f-46de-9df8-c82c579a35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74ee07-ea97-4620-9854-7dbfc5b03bdf}" ma:internalName="TaxCatchAll" ma:showField="CatchAllData" ma:web="cde4efbc-5e5f-46de-9df8-c82c579a35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429d79-6c38-4e0e-9129-84536948ebd7">
      <Terms xmlns="http://schemas.microsoft.com/office/infopath/2007/PartnerControls"/>
    </lcf76f155ced4ddcb4097134ff3c332f>
    <TaxCatchAll xmlns="cde4efbc-5e5f-46de-9df8-c82c579a3539" xsi:nil="true"/>
  </documentManagement>
</p:properties>
</file>

<file path=customXml/itemProps1.xml><?xml version="1.0" encoding="utf-8"?>
<ds:datastoreItem xmlns:ds="http://schemas.openxmlformats.org/officeDocument/2006/customXml" ds:itemID="{C91658A0-8E1F-4135-8E8B-CA9280009CA9}">
  <ds:schemaRefs>
    <ds:schemaRef ds:uri="http://schemas.openxmlformats.org/officeDocument/2006/bibliography"/>
  </ds:schemaRefs>
</ds:datastoreItem>
</file>

<file path=customXml/itemProps2.xml><?xml version="1.0" encoding="utf-8"?>
<ds:datastoreItem xmlns:ds="http://schemas.openxmlformats.org/officeDocument/2006/customXml" ds:itemID="{7C685F25-84BA-4881-9FF4-E9FCFBE5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29d79-6c38-4e0e-9129-84536948ebd7"/>
    <ds:schemaRef ds:uri="cde4efbc-5e5f-46de-9df8-c82c579a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191D0-3022-4921-9340-76D7C905D5AE}">
  <ds:schemaRefs>
    <ds:schemaRef ds:uri="http://schemas.microsoft.com/sharepoint/v3/contenttype/forms"/>
  </ds:schemaRefs>
</ds:datastoreItem>
</file>

<file path=customXml/itemProps4.xml><?xml version="1.0" encoding="utf-8"?>
<ds:datastoreItem xmlns:ds="http://schemas.openxmlformats.org/officeDocument/2006/customXml" ds:itemID="{7EE86351-7DF9-479C-84B3-37C241D282A2}">
  <ds:schemaRefs>
    <ds:schemaRef ds:uri="http://schemas.openxmlformats.org/package/2006/metadata/core-properties"/>
    <ds:schemaRef ds:uri="http://schemas.microsoft.com/office/2006/documentManagement/types"/>
    <ds:schemaRef ds:uri="http://purl.org/dc/elements/1.1/"/>
    <ds:schemaRef ds:uri="cde4efbc-5e5f-46de-9df8-c82c579a3539"/>
    <ds:schemaRef ds:uri="http://purl.org/dc/dcmitype/"/>
    <ds:schemaRef ds:uri="http://schemas.microsoft.com/office/2006/metadata/properties"/>
    <ds:schemaRef ds:uri="a2429d79-6c38-4e0e-9129-84536948ebd7"/>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Nemko_document_A4</Template>
  <TotalTime>1574</TotalTime>
  <Pages>12</Pages>
  <Words>2307</Words>
  <Characters>14355</Characters>
  <Application>Microsoft Office Word</Application>
  <DocSecurity>0</DocSecurity>
  <Lines>495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 Nicolai Nyquist</dc:creator>
  <cp:lastModifiedBy>Petter Nicolai Nyquist</cp:lastModifiedBy>
  <cp:revision>40</cp:revision>
  <dcterms:created xsi:type="dcterms:W3CDTF">2025-10-20T09:57:00Z</dcterms:created>
  <dcterms:modified xsi:type="dcterms:W3CDTF">2025-10-28T10:48:00Z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0x010100291B3234794FD64181B8B854311E72B6</vt:lpwstr>
  </property>
  <property fmtid="{D5CDD505-2E9C-101B-9397-08002B2CF9AE}" pid="3" name="MSIP_Label_f29de997-8fa2-4056-bd00-cffabe959c31_Enabled">
    <vt:lpwstr>true</vt:lpwstr>
  </property>
  <property fmtid="{D5CDD505-2E9C-101B-9397-08002B2CF9AE}" pid="4" name="MSIP_Label_f29de997-8fa2-4056-bd00-cffabe959c31_SetDate">
    <vt:lpwstr>2025-10-20T12:39:00Z</vt:lpwstr>
  </property>
  <property fmtid="{D5CDD505-2E9C-101B-9397-08002B2CF9AE}" pid="5" name="MSIP_Label_f29de997-8fa2-4056-bd00-cffabe959c31_Method">
    <vt:lpwstr>Standard</vt:lpwstr>
  </property>
  <property fmtid="{D5CDD505-2E9C-101B-9397-08002B2CF9AE}" pid="6" name="MSIP_Label_f29de997-8fa2-4056-bd00-cffabe959c31_Name">
    <vt:lpwstr>Global Internal</vt:lpwstr>
  </property>
  <property fmtid="{D5CDD505-2E9C-101B-9397-08002B2CF9AE}" pid="7" name="MSIP_Label_f29de997-8fa2-4056-bd00-cffabe959c31_SiteId">
    <vt:lpwstr>2a7c05d4-4e7f-4051-84e5-c35156233b5f</vt:lpwstr>
  </property>
  <property fmtid="{D5CDD505-2E9C-101B-9397-08002B2CF9AE}" pid="8" name="MSIP_Label_f29de997-8fa2-4056-bd00-cffabe959c31_ActionId">
    <vt:lpwstr>347f7c50-9de1-45d5-bb94-12b188f2003b</vt:lpwstr>
  </property>
  <property fmtid="{D5CDD505-2E9C-101B-9397-08002B2CF9AE}" pid="9" name="MSIP_Label_f29de997-8fa2-4056-bd00-cffabe959c31_ContentBits">
    <vt:lpwstr>0</vt:lpwstr>
  </property>
  <property fmtid="{D5CDD505-2E9C-101B-9397-08002B2CF9AE}" pid="10" name="MSIP_Label_f29de997-8fa2-4056-bd00-cffabe959c31_Tag">
    <vt:lpwstr>10, 3, 0, 1</vt:lpwstr>
  </property>
  <property fmtid="{D5CDD505-2E9C-101B-9397-08002B2CF9AE}" pid="11" name="MediaServiceImageTags">
    <vt:lpwstr/>
  </property>
</Properties>
</file>